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3707" w14:textId="25AAA433" w:rsidR="00E15319" w:rsidRPr="0041725B" w:rsidRDefault="00E15319" w:rsidP="0041725B">
      <w:pPr>
        <w:spacing w:after="0"/>
        <w:jc w:val="both"/>
        <w:rPr>
          <w:rFonts w:ascii="Tw Cen MT" w:hAnsi="Tw Cen MT"/>
        </w:rPr>
      </w:pPr>
      <w:bookmarkStart w:id="0" w:name="_Hlk63843187"/>
      <w:r w:rsidRPr="0041725B">
        <w:rPr>
          <w:rFonts w:ascii="Tw Cen MT" w:hAnsi="Tw Cen MT"/>
        </w:rPr>
        <w:t xml:space="preserve">Welcome to the East Sussex Safeguarding Children Partnership (ESSCP) Board Briefing. The briefing is intended to provide you with the key headlines from each Board meeting so that you can quickly catch up with decisions and learning and disseminate them to your staff. </w:t>
      </w:r>
      <w:r w:rsidR="00910761">
        <w:rPr>
          <w:rFonts w:ascii="Tw Cen MT" w:hAnsi="Tw Cen MT"/>
        </w:rPr>
        <w:t xml:space="preserve"> </w:t>
      </w:r>
      <w:r w:rsidRPr="0041725B">
        <w:rPr>
          <w:rFonts w:ascii="Tw Cen MT" w:hAnsi="Tw Cen MT"/>
        </w:rPr>
        <w:t>Minutes of the meeting will continue to be circulated to Board members.</w:t>
      </w:r>
    </w:p>
    <w:p w14:paraId="5BFAE773" w14:textId="77777777" w:rsidR="00E15319" w:rsidRPr="0041725B" w:rsidRDefault="00E15319" w:rsidP="0041725B">
      <w:pPr>
        <w:spacing w:after="0"/>
        <w:jc w:val="both"/>
        <w:rPr>
          <w:rFonts w:ascii="Tw Cen MT" w:hAnsi="Tw Cen MT"/>
        </w:rPr>
      </w:pPr>
    </w:p>
    <w:p w14:paraId="438E13CC" w14:textId="3BD968B6" w:rsidR="00E15319" w:rsidRPr="0041725B" w:rsidRDefault="00E15319" w:rsidP="0041725B">
      <w:pPr>
        <w:spacing w:after="0"/>
        <w:jc w:val="both"/>
        <w:rPr>
          <w:rFonts w:ascii="Tw Cen MT" w:hAnsi="Tw Cen MT"/>
        </w:rPr>
      </w:pPr>
      <w:r w:rsidRPr="0041725B">
        <w:rPr>
          <w:rFonts w:ascii="Tw Cen MT" w:hAnsi="Tw Cen MT"/>
        </w:rPr>
        <w:t xml:space="preserve">This briefing includes news from the </w:t>
      </w:r>
      <w:r w:rsidR="00170DAB">
        <w:rPr>
          <w:rFonts w:ascii="Tw Cen MT" w:hAnsi="Tw Cen MT"/>
        </w:rPr>
        <w:t>1 April</w:t>
      </w:r>
      <w:r w:rsidRPr="0041725B">
        <w:rPr>
          <w:rFonts w:ascii="Tw Cen MT" w:hAnsi="Tw Cen MT"/>
        </w:rPr>
        <w:t xml:space="preserve"> 2021 virtual Board meeting. If you have any comments on the briefing, or questions about the contents, please contact us on </w:t>
      </w:r>
      <w:hyperlink r:id="rId9" w:history="1">
        <w:r w:rsidRPr="0041725B">
          <w:rPr>
            <w:rStyle w:val="Hyperlink"/>
            <w:rFonts w:ascii="Tw Cen MT" w:hAnsi="Tw Cen MT"/>
          </w:rPr>
          <w:t>ESSCP.Contact@eastsussex.gov.uk</w:t>
        </w:r>
      </w:hyperlink>
      <w:r w:rsidRPr="0041725B">
        <w:rPr>
          <w:rFonts w:ascii="Tw Cen MT" w:hAnsi="Tw Cen MT"/>
        </w:rPr>
        <w:t>.</w:t>
      </w:r>
    </w:p>
    <w:p w14:paraId="3C9A5DF7" w14:textId="77777777" w:rsidR="00E15319" w:rsidRPr="0041725B" w:rsidRDefault="00E15319" w:rsidP="0041725B">
      <w:pPr>
        <w:spacing w:after="0"/>
        <w:jc w:val="both"/>
        <w:rPr>
          <w:rFonts w:ascii="Tw Cen MT" w:hAnsi="Tw Cen MT" w:cs="Arial"/>
          <w:b/>
        </w:rPr>
      </w:pPr>
    </w:p>
    <w:p w14:paraId="091392F1" w14:textId="50770B3B" w:rsidR="00E15319" w:rsidRPr="0041725B" w:rsidRDefault="000D7EEB" w:rsidP="0041725B">
      <w:pPr>
        <w:spacing w:after="0"/>
        <w:jc w:val="both"/>
        <w:rPr>
          <w:rFonts w:ascii="Tw Cen MT" w:hAnsi="Tw Cen MT" w:cs="Arial"/>
          <w:b/>
        </w:rPr>
      </w:pPr>
      <w:r>
        <w:rPr>
          <w:rFonts w:ascii="Tw Cen MT" w:hAnsi="Tw Cen MT" w:cs="Arial"/>
          <w:b/>
        </w:rPr>
        <w:t xml:space="preserve">Critical Service Issues and ‘Everyone’s Invited’ campaign </w:t>
      </w:r>
    </w:p>
    <w:p w14:paraId="7060EF3B" w14:textId="45B65D59" w:rsidR="00BC7286" w:rsidRPr="0041725B" w:rsidRDefault="00BC7286" w:rsidP="0041725B">
      <w:pPr>
        <w:spacing w:after="0"/>
        <w:jc w:val="both"/>
        <w:rPr>
          <w:rFonts w:ascii="Tw Cen MT" w:hAnsi="Tw Cen MT" w:cs="Arial"/>
          <w:b/>
        </w:rPr>
      </w:pPr>
    </w:p>
    <w:p w14:paraId="55A917E8" w14:textId="01F6C542" w:rsidR="000D7EEB" w:rsidRDefault="00BC7286" w:rsidP="0041725B">
      <w:pPr>
        <w:spacing w:after="0"/>
        <w:jc w:val="both"/>
        <w:rPr>
          <w:rFonts w:ascii="Tw Cen MT" w:hAnsi="Tw Cen MT" w:cs="Arial"/>
          <w:bCs/>
        </w:rPr>
      </w:pPr>
      <w:r w:rsidRPr="0041725B">
        <w:rPr>
          <w:rFonts w:ascii="Tw Cen MT" w:hAnsi="Tw Cen MT" w:cs="Arial"/>
          <w:bCs/>
        </w:rPr>
        <w:t xml:space="preserve">Colleagues updated on service pressures and challenges but noted these are closely monitored and reviewed. </w:t>
      </w:r>
      <w:r w:rsidR="000D7EEB">
        <w:rPr>
          <w:rFonts w:ascii="Tw Cen MT" w:hAnsi="Tw Cen MT" w:cs="Arial"/>
          <w:bCs/>
        </w:rPr>
        <w:t xml:space="preserve">The Board noted that there </w:t>
      </w:r>
      <w:proofErr w:type="gramStart"/>
      <w:r w:rsidR="000D7EEB">
        <w:rPr>
          <w:rFonts w:ascii="Tw Cen MT" w:hAnsi="Tw Cen MT" w:cs="Arial"/>
          <w:bCs/>
        </w:rPr>
        <w:t>has</w:t>
      </w:r>
      <w:proofErr w:type="gramEnd"/>
      <w:r w:rsidR="000D7EEB">
        <w:rPr>
          <w:rFonts w:ascii="Tw Cen MT" w:hAnsi="Tw Cen MT" w:cs="Arial"/>
          <w:bCs/>
        </w:rPr>
        <w:t xml:space="preserve"> been no significant challenges raised by the return of pupils to school (currently seeing vast majority of pupils back at school, but still well below pre </w:t>
      </w:r>
      <w:proofErr w:type="spellStart"/>
      <w:r w:rsidR="000D7EEB">
        <w:rPr>
          <w:rFonts w:ascii="Tw Cen MT" w:hAnsi="Tw Cen MT" w:cs="Arial"/>
          <w:bCs/>
        </w:rPr>
        <w:t>covid</w:t>
      </w:r>
      <w:proofErr w:type="spellEnd"/>
      <w:r w:rsidR="000D7EEB">
        <w:rPr>
          <w:rFonts w:ascii="Tw Cen MT" w:hAnsi="Tw Cen MT" w:cs="Arial"/>
          <w:bCs/>
        </w:rPr>
        <w:t xml:space="preserve"> levels of attendance – around 75% of pupils). </w:t>
      </w:r>
    </w:p>
    <w:p w14:paraId="59E07EE7" w14:textId="74026C04" w:rsidR="000D7EEB" w:rsidRDefault="000D7EEB" w:rsidP="0041725B">
      <w:pPr>
        <w:spacing w:after="0"/>
        <w:jc w:val="both"/>
        <w:rPr>
          <w:rFonts w:ascii="Tw Cen MT" w:hAnsi="Tw Cen MT" w:cs="Arial"/>
          <w:bCs/>
        </w:rPr>
      </w:pPr>
      <w:r>
        <w:rPr>
          <w:rFonts w:ascii="Tw Cen MT" w:hAnsi="Tw Cen MT" w:cs="Arial"/>
          <w:bCs/>
        </w:rPr>
        <w:t xml:space="preserve">The Chair asked for partners position on current national debate regarding sexual harassment in schools, in particularly culture of sexual harassment in non-maintained schools. Are current systems adequate? </w:t>
      </w:r>
    </w:p>
    <w:p w14:paraId="3ED0689A" w14:textId="2BA46211" w:rsidR="000D7EEB" w:rsidRDefault="000D7EEB" w:rsidP="0041725B">
      <w:pPr>
        <w:spacing w:after="0"/>
        <w:jc w:val="both"/>
        <w:rPr>
          <w:rFonts w:ascii="Tw Cen MT" w:hAnsi="Tw Cen MT" w:cs="Arial"/>
          <w:bCs/>
        </w:rPr>
      </w:pPr>
      <w:r>
        <w:rPr>
          <w:rFonts w:ascii="Tw Cen MT" w:hAnsi="Tw Cen MT" w:cs="Arial"/>
          <w:bCs/>
        </w:rPr>
        <w:t xml:space="preserve">Annabel Hodge, representative from </w:t>
      </w:r>
      <w:proofErr w:type="spellStart"/>
      <w:r>
        <w:rPr>
          <w:rFonts w:ascii="Tw Cen MT" w:hAnsi="Tw Cen MT" w:cs="Arial"/>
          <w:bCs/>
        </w:rPr>
        <w:t>indepenednet</w:t>
      </w:r>
      <w:proofErr w:type="spellEnd"/>
      <w:r>
        <w:rPr>
          <w:rFonts w:ascii="Tw Cen MT" w:hAnsi="Tw Cen MT" w:cs="Arial"/>
          <w:bCs/>
        </w:rPr>
        <w:t xml:space="preserve"> sector, </w:t>
      </w:r>
    </w:p>
    <w:p w14:paraId="5D7A6AB7" w14:textId="23AE4792" w:rsidR="000D7EEB" w:rsidRDefault="000D7EEB" w:rsidP="0041725B">
      <w:pPr>
        <w:spacing w:after="0"/>
        <w:jc w:val="both"/>
        <w:rPr>
          <w:rFonts w:ascii="Tw Cen MT" w:hAnsi="Tw Cen MT" w:cs="Arial"/>
          <w:bCs/>
        </w:rPr>
      </w:pPr>
      <w:r>
        <w:rPr>
          <w:rFonts w:ascii="Tw Cen MT" w:hAnsi="Tw Cen MT" w:cs="Arial"/>
          <w:bCs/>
        </w:rPr>
        <w:t xml:space="preserve">How governs and </w:t>
      </w:r>
      <w:proofErr w:type="spellStart"/>
      <w:r>
        <w:rPr>
          <w:rFonts w:ascii="Tw Cen MT" w:hAnsi="Tw Cen MT" w:cs="Arial"/>
          <w:bCs/>
        </w:rPr>
        <w:t>scrutinity</w:t>
      </w:r>
      <w:proofErr w:type="spellEnd"/>
      <w:r>
        <w:rPr>
          <w:rFonts w:ascii="Tw Cen MT" w:hAnsi="Tw Cen MT" w:cs="Arial"/>
          <w:bCs/>
        </w:rPr>
        <w:t xml:space="preserve"> in independent sector. </w:t>
      </w:r>
      <w:r w:rsidR="00910761">
        <w:rPr>
          <w:rFonts w:ascii="Tw Cen MT" w:hAnsi="Tw Cen MT" w:cs="Arial"/>
          <w:bCs/>
        </w:rPr>
        <w:t xml:space="preserve"> </w:t>
      </w:r>
    </w:p>
    <w:p w14:paraId="6FFC68A7" w14:textId="2B6E9089" w:rsidR="000D7EEB" w:rsidRDefault="000D7EEB" w:rsidP="0041725B">
      <w:pPr>
        <w:spacing w:after="0"/>
        <w:jc w:val="both"/>
        <w:rPr>
          <w:rFonts w:ascii="Tw Cen MT" w:hAnsi="Tw Cen MT" w:cs="Arial"/>
          <w:bCs/>
        </w:rPr>
      </w:pPr>
      <w:r>
        <w:rPr>
          <w:rFonts w:ascii="Tw Cen MT" w:hAnsi="Tw Cen MT" w:cs="Arial"/>
          <w:bCs/>
        </w:rPr>
        <w:t xml:space="preserve">Independent Schools </w:t>
      </w:r>
      <w:proofErr w:type="spellStart"/>
      <w:r>
        <w:rPr>
          <w:rFonts w:ascii="Tw Cen MT" w:hAnsi="Tw Cen MT" w:cs="Arial"/>
          <w:bCs/>
        </w:rPr>
        <w:t>Safegaurding</w:t>
      </w:r>
      <w:proofErr w:type="spellEnd"/>
      <w:r>
        <w:rPr>
          <w:rFonts w:ascii="Tw Cen MT" w:hAnsi="Tw Cen MT" w:cs="Arial"/>
          <w:bCs/>
        </w:rPr>
        <w:t xml:space="preserve"> Forum – expect will be a key topic at the next East Sussex meeting. </w:t>
      </w:r>
    </w:p>
    <w:p w14:paraId="433C970C" w14:textId="13B9B296" w:rsidR="00687A14" w:rsidRDefault="000D7EEB" w:rsidP="0041725B">
      <w:pPr>
        <w:spacing w:after="0"/>
        <w:jc w:val="both"/>
        <w:rPr>
          <w:rFonts w:ascii="Tw Cen MT" w:hAnsi="Tw Cen MT" w:cs="Arial"/>
          <w:bCs/>
        </w:rPr>
      </w:pPr>
      <w:r>
        <w:rPr>
          <w:rFonts w:ascii="Tw Cen MT" w:hAnsi="Tw Cen MT" w:cs="Arial"/>
          <w:bCs/>
        </w:rPr>
        <w:t xml:space="preserve">An area that ESCC has </w:t>
      </w:r>
      <w:r w:rsidR="00687A14">
        <w:rPr>
          <w:rFonts w:ascii="Tw Cen MT" w:hAnsi="Tw Cen MT" w:cs="Arial"/>
          <w:bCs/>
        </w:rPr>
        <w:t xml:space="preserve">developed resources. </w:t>
      </w:r>
    </w:p>
    <w:p w14:paraId="5604E7ED" w14:textId="05565A4D" w:rsidR="00687A14" w:rsidRDefault="00687A14" w:rsidP="0041725B">
      <w:pPr>
        <w:spacing w:after="0"/>
        <w:jc w:val="both"/>
        <w:rPr>
          <w:rFonts w:ascii="Tw Cen MT" w:hAnsi="Tw Cen MT" w:cs="Arial"/>
          <w:bCs/>
        </w:rPr>
      </w:pPr>
      <w:r>
        <w:rPr>
          <w:rFonts w:ascii="Tw Cen MT" w:hAnsi="Tw Cen MT" w:cs="Arial"/>
          <w:bCs/>
        </w:rPr>
        <w:t xml:space="preserve">Current view to be confident in current processes and resources unless referrals or feedback indicates otherwise. Maintained schools are reflecting on how to respond, within school settings, to make sure appropriate, </w:t>
      </w:r>
      <w:proofErr w:type="gramStart"/>
      <w:r>
        <w:rPr>
          <w:rFonts w:ascii="Tw Cen MT" w:hAnsi="Tw Cen MT" w:cs="Arial"/>
          <w:bCs/>
        </w:rPr>
        <w:t>in particular in</w:t>
      </w:r>
      <w:proofErr w:type="gramEnd"/>
      <w:r>
        <w:rPr>
          <w:rFonts w:ascii="Tw Cen MT" w:hAnsi="Tw Cen MT" w:cs="Arial"/>
          <w:bCs/>
        </w:rPr>
        <w:t xml:space="preserve"> primary schools. There continues to be scrutiny of safeguarding processes via Ofsted and internal safeguarding assessments. </w:t>
      </w:r>
    </w:p>
    <w:p w14:paraId="5CD2E867" w14:textId="5FAF9854" w:rsidR="00687A14" w:rsidRDefault="00687A14" w:rsidP="0041725B">
      <w:pPr>
        <w:spacing w:after="0"/>
        <w:jc w:val="both"/>
        <w:rPr>
          <w:rFonts w:ascii="Tw Cen MT" w:hAnsi="Tw Cen MT" w:cs="Arial"/>
          <w:bCs/>
        </w:rPr>
      </w:pPr>
      <w:r>
        <w:rPr>
          <w:rFonts w:ascii="Tw Cen MT" w:hAnsi="Tw Cen MT" w:cs="Arial"/>
          <w:bCs/>
        </w:rPr>
        <w:t xml:space="preserve">Harmful sexual incidences that are impacting on local community – SLES has had 8 referrals for an immediate response, to review management and communication of incidences. That is currently manageable in terms of resource, but if referrals escalate following national focus, then have concerns about capacity to support. </w:t>
      </w:r>
    </w:p>
    <w:p w14:paraId="6E73C1D4" w14:textId="3C307F97" w:rsidR="00687A14" w:rsidRDefault="00687A14" w:rsidP="0041725B">
      <w:pPr>
        <w:spacing w:after="0"/>
        <w:jc w:val="both"/>
        <w:rPr>
          <w:rFonts w:ascii="Tw Cen MT" w:hAnsi="Tw Cen MT" w:cs="Arial"/>
          <w:bCs/>
        </w:rPr>
      </w:pPr>
      <w:r>
        <w:rPr>
          <w:rFonts w:ascii="Tw Cen MT" w:hAnsi="Tw Cen MT" w:cs="Arial"/>
          <w:bCs/>
        </w:rPr>
        <w:t xml:space="preserve">Police involvement when potential perpetrator is over age of 10 has often delayed support to pupils affected and wider community. </w:t>
      </w:r>
    </w:p>
    <w:p w14:paraId="2B9B96E1" w14:textId="24A536EF" w:rsidR="00AF63E6" w:rsidRDefault="00AF63E6" w:rsidP="0041725B">
      <w:pPr>
        <w:spacing w:after="0"/>
        <w:jc w:val="both"/>
        <w:rPr>
          <w:rFonts w:ascii="Tw Cen MT" w:hAnsi="Tw Cen MT" w:cs="Arial"/>
          <w:bCs/>
        </w:rPr>
      </w:pPr>
      <w:r>
        <w:rPr>
          <w:rFonts w:ascii="Tw Cen MT" w:hAnsi="Tw Cen MT" w:cs="Arial"/>
          <w:bCs/>
        </w:rPr>
        <w:t xml:space="preserve">We’re in a good place to manage current situation but may have to develop approach </w:t>
      </w:r>
    </w:p>
    <w:p w14:paraId="74600BB6" w14:textId="77777777" w:rsidR="000D7EEB" w:rsidRDefault="000D7EEB" w:rsidP="0041725B">
      <w:pPr>
        <w:spacing w:after="0"/>
        <w:jc w:val="both"/>
        <w:rPr>
          <w:rFonts w:ascii="Tw Cen MT" w:hAnsi="Tw Cen MT" w:cs="Arial"/>
          <w:bCs/>
        </w:rPr>
      </w:pPr>
    </w:p>
    <w:p w14:paraId="50358FAC" w14:textId="77777777" w:rsidR="000D7EEB" w:rsidRDefault="000D7EEB" w:rsidP="0041725B">
      <w:pPr>
        <w:spacing w:after="0"/>
        <w:jc w:val="both"/>
        <w:rPr>
          <w:rFonts w:ascii="Tw Cen MT" w:hAnsi="Tw Cen MT" w:cs="Arial"/>
          <w:bCs/>
        </w:rPr>
      </w:pPr>
    </w:p>
    <w:p w14:paraId="6CAF2439" w14:textId="77777777" w:rsidR="000D7EEB" w:rsidRDefault="000D7EEB" w:rsidP="0041725B">
      <w:pPr>
        <w:spacing w:after="0"/>
        <w:jc w:val="both"/>
        <w:rPr>
          <w:rFonts w:ascii="Tw Cen MT" w:hAnsi="Tw Cen MT" w:cs="Arial"/>
          <w:bCs/>
        </w:rPr>
      </w:pPr>
    </w:p>
    <w:p w14:paraId="4242BC9D" w14:textId="28FCB09A" w:rsidR="00AF63E6" w:rsidRDefault="00AF63E6" w:rsidP="0041725B">
      <w:pPr>
        <w:spacing w:after="0"/>
        <w:jc w:val="both"/>
        <w:rPr>
          <w:rFonts w:ascii="Tw Cen MT" w:hAnsi="Tw Cen MT"/>
        </w:rPr>
      </w:pPr>
      <w:r>
        <w:rPr>
          <w:rFonts w:ascii="Tw Cen MT" w:hAnsi="Tw Cen MT"/>
        </w:rPr>
        <w:t xml:space="preserve">Managed through MACE silver group which has meant that interventions are targeted and proportionate. </w:t>
      </w:r>
    </w:p>
    <w:p w14:paraId="3FEE8748" w14:textId="39115570" w:rsidR="00E15319" w:rsidRDefault="00AF63E6" w:rsidP="0041725B">
      <w:pPr>
        <w:spacing w:after="0"/>
        <w:jc w:val="both"/>
        <w:rPr>
          <w:rFonts w:ascii="Tw Cen MT" w:hAnsi="Tw Cen MT"/>
        </w:rPr>
      </w:pPr>
      <w:r>
        <w:rPr>
          <w:rFonts w:ascii="Tw Cen MT" w:hAnsi="Tw Cen MT"/>
        </w:rPr>
        <w:t>Success of partnership to secure external funding</w:t>
      </w:r>
      <w:r w:rsidR="00CB6000">
        <w:rPr>
          <w:rFonts w:ascii="Tw Cen MT" w:hAnsi="Tw Cen MT"/>
        </w:rPr>
        <w:t xml:space="preserve"> which has enabled innovate use of resources and deployment of staff. Report also highlights findings of the evaluation of the first year of contextual safeguarding, the</w:t>
      </w:r>
    </w:p>
    <w:p w14:paraId="69076913" w14:textId="5C56F15E" w:rsidR="00CB6000" w:rsidRDefault="00CB6000" w:rsidP="0041725B">
      <w:pPr>
        <w:spacing w:after="0"/>
        <w:jc w:val="both"/>
        <w:rPr>
          <w:rFonts w:ascii="Tw Cen MT" w:hAnsi="Tw Cen MT"/>
        </w:rPr>
      </w:pPr>
    </w:p>
    <w:p w14:paraId="0E767978" w14:textId="721EADA8" w:rsidR="00CB6000" w:rsidRDefault="00CB6000" w:rsidP="0041725B">
      <w:pPr>
        <w:spacing w:after="0"/>
        <w:jc w:val="both"/>
        <w:rPr>
          <w:rFonts w:ascii="Tw Cen MT" w:hAnsi="Tw Cen MT"/>
        </w:rPr>
      </w:pPr>
    </w:p>
    <w:p w14:paraId="1DF907A9" w14:textId="17161104" w:rsidR="00CB6000" w:rsidRDefault="00CB6000" w:rsidP="0041725B">
      <w:pPr>
        <w:spacing w:after="0"/>
        <w:jc w:val="both"/>
        <w:rPr>
          <w:rFonts w:ascii="Tw Cen MT" w:hAnsi="Tw Cen MT"/>
        </w:rPr>
      </w:pPr>
      <w:r>
        <w:rPr>
          <w:rFonts w:ascii="Tw Cen MT" w:hAnsi="Tw Cen MT"/>
        </w:rPr>
        <w:t xml:space="preserve">Examples of significant impact for individuals and communities and safeguarding of children. </w:t>
      </w:r>
    </w:p>
    <w:p w14:paraId="449782EC" w14:textId="7B39D72C" w:rsidR="00CB6000" w:rsidRDefault="00CB6000" w:rsidP="0041725B">
      <w:pPr>
        <w:spacing w:after="0"/>
        <w:jc w:val="both"/>
        <w:rPr>
          <w:rFonts w:ascii="Tw Cen MT" w:hAnsi="Tw Cen MT"/>
        </w:rPr>
      </w:pPr>
      <w:r>
        <w:rPr>
          <w:rFonts w:ascii="Tw Cen MT" w:hAnsi="Tw Cen MT"/>
        </w:rPr>
        <w:t xml:space="preserve">Positive results by schools in terms of behaviour, </w:t>
      </w:r>
      <w:proofErr w:type="gramStart"/>
      <w:r>
        <w:rPr>
          <w:rFonts w:ascii="Tw Cen MT" w:hAnsi="Tw Cen MT"/>
        </w:rPr>
        <w:t>engagement</w:t>
      </w:r>
      <w:proofErr w:type="gramEnd"/>
      <w:r>
        <w:rPr>
          <w:rFonts w:ascii="Tw Cen MT" w:hAnsi="Tw Cen MT"/>
        </w:rPr>
        <w:t xml:space="preserve"> and exclusion. </w:t>
      </w:r>
    </w:p>
    <w:p w14:paraId="7DBB4AA2" w14:textId="77777777" w:rsidR="00CB6000" w:rsidRDefault="00CB6000" w:rsidP="0041725B">
      <w:pPr>
        <w:spacing w:after="0"/>
        <w:jc w:val="both"/>
        <w:rPr>
          <w:rFonts w:ascii="Tw Cen MT" w:hAnsi="Tw Cen MT"/>
        </w:rPr>
      </w:pPr>
    </w:p>
    <w:p w14:paraId="75009BF5" w14:textId="7A468034" w:rsidR="00CB6000" w:rsidRDefault="00CB6000" w:rsidP="0041725B">
      <w:pPr>
        <w:spacing w:after="0"/>
        <w:jc w:val="both"/>
        <w:rPr>
          <w:rFonts w:ascii="Tw Cen MT" w:hAnsi="Tw Cen MT"/>
        </w:rPr>
      </w:pPr>
      <w:r>
        <w:rPr>
          <w:rFonts w:ascii="Tw Cen MT" w:hAnsi="Tw Cen MT"/>
        </w:rPr>
        <w:t xml:space="preserve">Excellent work in Uckfield in reducing engagement in anti-social behaviour (reduction of 92%) and criminality, resulting in a national policing award. </w:t>
      </w:r>
    </w:p>
    <w:p w14:paraId="7DB13429" w14:textId="122B110B" w:rsidR="00CB6000" w:rsidRDefault="00CB6000" w:rsidP="0041725B">
      <w:pPr>
        <w:spacing w:after="0"/>
        <w:jc w:val="both"/>
        <w:rPr>
          <w:rFonts w:ascii="Tw Cen MT" w:hAnsi="Tw Cen MT"/>
        </w:rPr>
      </w:pPr>
    </w:p>
    <w:p w14:paraId="581A88C7" w14:textId="77777777" w:rsidR="00CB6000" w:rsidRDefault="00CB6000" w:rsidP="0041725B">
      <w:pPr>
        <w:spacing w:after="0"/>
        <w:jc w:val="both"/>
        <w:rPr>
          <w:rFonts w:ascii="Tw Cen MT" w:hAnsi="Tw Cen MT"/>
        </w:rPr>
      </w:pPr>
      <w:r>
        <w:rPr>
          <w:rFonts w:ascii="Tw Cen MT" w:hAnsi="Tw Cen MT"/>
        </w:rPr>
        <w:t xml:space="preserve">Work has really highlighted benefits of approaching risks in a contextual safeguarding way. Challenge will be to sustain the resources </w:t>
      </w:r>
    </w:p>
    <w:p w14:paraId="1939881F" w14:textId="0CFE2C1D" w:rsidR="00CB6000" w:rsidRDefault="00CB6000" w:rsidP="0041725B">
      <w:pPr>
        <w:spacing w:after="0"/>
        <w:jc w:val="both"/>
        <w:rPr>
          <w:rFonts w:ascii="Tw Cen MT" w:hAnsi="Tw Cen MT"/>
        </w:rPr>
      </w:pPr>
      <w:r>
        <w:rPr>
          <w:rFonts w:ascii="Tw Cen MT" w:hAnsi="Tw Cen MT"/>
        </w:rPr>
        <w:t xml:space="preserve">Success of projects has identified </w:t>
      </w:r>
    </w:p>
    <w:p w14:paraId="0DEF04A4" w14:textId="2591D295" w:rsidR="00CB6000" w:rsidRDefault="00CB6000" w:rsidP="0041725B">
      <w:pPr>
        <w:spacing w:after="0"/>
        <w:jc w:val="both"/>
        <w:rPr>
          <w:rFonts w:ascii="Tw Cen MT" w:hAnsi="Tw Cen MT"/>
        </w:rPr>
      </w:pPr>
    </w:p>
    <w:p w14:paraId="66487126" w14:textId="5737F9B1" w:rsidR="00CB6000" w:rsidRDefault="00CB6000" w:rsidP="0041725B">
      <w:pPr>
        <w:spacing w:after="0"/>
        <w:jc w:val="both"/>
        <w:rPr>
          <w:rFonts w:ascii="Tw Cen MT" w:hAnsi="Tw Cen MT"/>
        </w:rPr>
      </w:pPr>
      <w:r>
        <w:rPr>
          <w:rFonts w:ascii="Tw Cen MT" w:hAnsi="Tw Cen MT"/>
        </w:rPr>
        <w:t xml:space="preserve">Jon Hull also flagged the Police initiative ‘Custody Hour’ which aims to inform key partners of a child being in custody. </w:t>
      </w:r>
    </w:p>
    <w:p w14:paraId="6613285B" w14:textId="080024AC" w:rsidR="00910761" w:rsidRDefault="00910761" w:rsidP="0041725B">
      <w:pPr>
        <w:spacing w:after="0"/>
        <w:jc w:val="both"/>
        <w:rPr>
          <w:rFonts w:ascii="Tw Cen MT" w:hAnsi="Tw Cen MT"/>
        </w:rPr>
      </w:pPr>
    </w:p>
    <w:p w14:paraId="088B8665" w14:textId="77777777" w:rsidR="00910761" w:rsidRPr="0041725B" w:rsidRDefault="00910761" w:rsidP="0041725B">
      <w:pPr>
        <w:spacing w:after="0"/>
        <w:jc w:val="both"/>
        <w:rPr>
          <w:rFonts w:ascii="Tw Cen MT" w:hAnsi="Tw Cen MT"/>
        </w:rPr>
      </w:pPr>
    </w:p>
    <w:p w14:paraId="3B45164B" w14:textId="5915F212" w:rsidR="00E15319" w:rsidRPr="0041725B" w:rsidRDefault="00170DAB" w:rsidP="0041725B">
      <w:pPr>
        <w:spacing w:after="0"/>
        <w:jc w:val="both"/>
        <w:rPr>
          <w:rFonts w:ascii="Tw Cen MT" w:hAnsi="Tw Cen MT"/>
          <w:b/>
          <w:bCs/>
        </w:rPr>
      </w:pPr>
      <w:r>
        <w:rPr>
          <w:rFonts w:ascii="Tw Cen MT" w:hAnsi="Tw Cen MT"/>
          <w:b/>
          <w:bCs/>
        </w:rPr>
        <w:t>Multi-agency Public Protection (MAPPA)</w:t>
      </w:r>
    </w:p>
    <w:p w14:paraId="6475129C" w14:textId="77777777" w:rsidR="00E15319" w:rsidRPr="0041725B" w:rsidRDefault="00E15319" w:rsidP="0041725B">
      <w:pPr>
        <w:spacing w:after="0"/>
        <w:jc w:val="both"/>
        <w:rPr>
          <w:rFonts w:ascii="Tw Cen MT" w:hAnsi="Tw Cen MT"/>
        </w:rPr>
      </w:pPr>
    </w:p>
    <w:p w14:paraId="3E4DDB4E" w14:textId="5C2647B4" w:rsidR="00170DAB" w:rsidRDefault="00CB6000" w:rsidP="009A5E55">
      <w:pPr>
        <w:jc w:val="both"/>
        <w:rPr>
          <w:rFonts w:ascii="Tw Cen MT" w:hAnsi="Tw Cen MT"/>
          <w:color w:val="333333"/>
          <w:shd w:val="clear" w:color="auto" w:fill="FFFFFF"/>
        </w:rPr>
      </w:pPr>
      <w:r>
        <w:rPr>
          <w:rFonts w:ascii="Tw Cen MT" w:hAnsi="Tw Cen MT"/>
          <w:color w:val="333333"/>
          <w:shd w:val="clear" w:color="auto" w:fill="FFFFFF"/>
        </w:rPr>
        <w:t xml:space="preserve">Critical to get good attendance at </w:t>
      </w:r>
      <w:r w:rsidR="00170DAB">
        <w:rPr>
          <w:rFonts w:ascii="Tw Cen MT" w:hAnsi="Tw Cen MT"/>
          <w:color w:val="333333"/>
          <w:shd w:val="clear" w:color="auto" w:fill="FFFFFF"/>
        </w:rPr>
        <w:t xml:space="preserve">Level 2 and Level 3 </w:t>
      </w:r>
      <w:r>
        <w:rPr>
          <w:rFonts w:ascii="Tw Cen MT" w:hAnsi="Tw Cen MT"/>
          <w:color w:val="333333"/>
          <w:shd w:val="clear" w:color="auto" w:fill="FFFFFF"/>
        </w:rPr>
        <w:t xml:space="preserve">meetings and having virtual meetings over the past year has helped </w:t>
      </w:r>
      <w:r w:rsidR="00170DAB">
        <w:rPr>
          <w:rFonts w:ascii="Tw Cen MT" w:hAnsi="Tw Cen MT"/>
          <w:color w:val="333333"/>
          <w:shd w:val="clear" w:color="auto" w:fill="FFFFFF"/>
        </w:rPr>
        <w:t>secure good attendance at both levels of meetings.</w:t>
      </w:r>
    </w:p>
    <w:p w14:paraId="12045CD6" w14:textId="77777777" w:rsidR="00170DAB" w:rsidRDefault="00170DAB" w:rsidP="009A5E55">
      <w:pPr>
        <w:jc w:val="both"/>
        <w:rPr>
          <w:rFonts w:ascii="Tw Cen MT" w:hAnsi="Tw Cen MT"/>
          <w:color w:val="333333"/>
          <w:shd w:val="clear" w:color="auto" w:fill="FFFFFF"/>
        </w:rPr>
      </w:pPr>
      <w:r>
        <w:rPr>
          <w:rFonts w:ascii="Tw Cen MT" w:hAnsi="Tw Cen MT"/>
          <w:color w:val="333333"/>
          <w:shd w:val="clear" w:color="auto" w:fill="FFFFFF"/>
        </w:rPr>
        <w:t xml:space="preserve">Adding serious sexual offences against children to be managed by MAPPA. Part of a national initiative. MAPPA has no developed funding, so resourcing could be a review. Obvious overlaps with DHRs and LSCPRs. </w:t>
      </w:r>
    </w:p>
    <w:p w14:paraId="67AC3DA0" w14:textId="2D40559D" w:rsidR="00CB6000" w:rsidRDefault="00170DAB" w:rsidP="009A5E55">
      <w:pPr>
        <w:jc w:val="both"/>
        <w:rPr>
          <w:rFonts w:ascii="Tw Cen MT" w:hAnsi="Tw Cen MT"/>
          <w:color w:val="333333"/>
          <w:shd w:val="clear" w:color="auto" w:fill="FFFFFF"/>
        </w:rPr>
      </w:pPr>
      <w:r>
        <w:rPr>
          <w:rFonts w:ascii="Tw Cen MT" w:hAnsi="Tw Cen MT"/>
          <w:color w:val="333333"/>
          <w:shd w:val="clear" w:color="auto" w:fill="FFFFFF"/>
        </w:rPr>
        <w:t xml:space="preserve">Clarification -  </w:t>
      </w:r>
    </w:p>
    <w:p w14:paraId="02D2CE44" w14:textId="77777777" w:rsidR="00CB6000" w:rsidRDefault="00CB6000" w:rsidP="009A5E55">
      <w:pPr>
        <w:jc w:val="both"/>
        <w:rPr>
          <w:rFonts w:ascii="Tw Cen MT" w:hAnsi="Tw Cen MT"/>
          <w:color w:val="333333"/>
          <w:shd w:val="clear" w:color="auto" w:fill="FFFFFF"/>
        </w:rPr>
      </w:pPr>
    </w:p>
    <w:p w14:paraId="645A826F" w14:textId="77777777" w:rsidR="00CB6000" w:rsidRDefault="00CB6000" w:rsidP="009A5E55">
      <w:pPr>
        <w:jc w:val="both"/>
        <w:rPr>
          <w:rFonts w:ascii="Tw Cen MT" w:hAnsi="Tw Cen MT"/>
          <w:color w:val="333333"/>
          <w:shd w:val="clear" w:color="auto" w:fill="FFFFFF"/>
        </w:rPr>
      </w:pPr>
    </w:p>
    <w:p w14:paraId="0636AE7B" w14:textId="6C3FBDA0" w:rsidR="009A5E55" w:rsidRPr="009A5E55" w:rsidRDefault="009A5E55" w:rsidP="009A5E55">
      <w:pPr>
        <w:jc w:val="both"/>
        <w:rPr>
          <w:rFonts w:ascii="Tw Cen MT" w:hAnsi="Tw Cen MT"/>
          <w:color w:val="333333"/>
          <w:shd w:val="clear" w:color="auto" w:fill="FFFFFF"/>
        </w:rPr>
      </w:pPr>
      <w:r>
        <w:rPr>
          <w:rFonts w:ascii="Tw Cen MT" w:hAnsi="Tw Cen MT"/>
          <w:color w:val="333333"/>
          <w:shd w:val="clear" w:color="auto" w:fill="FFFFFF"/>
        </w:rPr>
        <w:t xml:space="preserve">The enhanced </w:t>
      </w:r>
      <w:r w:rsidRPr="009A5E55">
        <w:rPr>
          <w:rFonts w:ascii="Tw Cen MT" w:hAnsi="Tw Cen MT"/>
          <w:b/>
          <w:bCs/>
          <w:color w:val="333333"/>
          <w:shd w:val="clear" w:color="auto" w:fill="FFFFFF"/>
        </w:rPr>
        <w:t>suicide bereavement support service</w:t>
      </w:r>
      <w:r>
        <w:rPr>
          <w:rFonts w:ascii="Tw Cen MT" w:hAnsi="Tw Cen MT"/>
          <w:color w:val="333333"/>
          <w:shd w:val="clear" w:color="auto" w:fill="FFFFFF"/>
        </w:rPr>
        <w:t xml:space="preserve"> across Sussex is now up and running. This is a service for anyone in Sussex who has been affected by suicide recently or in the past. </w:t>
      </w:r>
      <w:hyperlink r:id="rId10" w:history="1">
        <w:r w:rsidRPr="009A5E55">
          <w:rPr>
            <w:rStyle w:val="Hyperlink"/>
            <w:rFonts w:ascii="Tw Cen MT" w:hAnsi="Tw Cen MT"/>
            <w:shd w:val="clear" w:color="auto" w:fill="FFFFFF"/>
          </w:rPr>
          <w:t>More information here</w:t>
        </w:r>
      </w:hyperlink>
      <w:r>
        <w:rPr>
          <w:rFonts w:ascii="Tw Cen MT" w:hAnsi="Tw Cen MT"/>
          <w:color w:val="333333"/>
          <w:shd w:val="clear" w:color="auto" w:fill="FFFFFF"/>
        </w:rPr>
        <w:t>….</w:t>
      </w:r>
    </w:p>
    <w:bookmarkEnd w:id="0"/>
    <w:p w14:paraId="1DB7BCCD" w14:textId="77777777" w:rsidR="009A5E55" w:rsidRPr="0041725B" w:rsidRDefault="009A5E55" w:rsidP="0041725B">
      <w:pPr>
        <w:jc w:val="both"/>
        <w:rPr>
          <w:rFonts w:ascii="Tw Cen MT" w:hAnsi="Tw Cen MT"/>
        </w:rPr>
      </w:pPr>
    </w:p>
    <w:sectPr w:rsidR="009A5E55" w:rsidRPr="00417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CE1"/>
    <w:multiLevelType w:val="hybridMultilevel"/>
    <w:tmpl w:val="8366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726F"/>
    <w:multiLevelType w:val="hybridMultilevel"/>
    <w:tmpl w:val="D48C92D4"/>
    <w:lvl w:ilvl="0" w:tplc="08090001">
      <w:start w:val="1"/>
      <w:numFmt w:val="bullet"/>
      <w:lvlText w:val=""/>
      <w:lvlJc w:val="left"/>
      <w:pPr>
        <w:ind w:left="240" w:hanging="240"/>
      </w:pPr>
      <w:rPr>
        <w:rFonts w:ascii="Symbol" w:hAnsi="Symbol"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EF6F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0E414">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9BC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065E5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80C7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38076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25A4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B0FAE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4B275BC"/>
    <w:multiLevelType w:val="hybridMultilevel"/>
    <w:tmpl w:val="1900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E64E3"/>
    <w:multiLevelType w:val="hybridMultilevel"/>
    <w:tmpl w:val="57AA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62ABA"/>
    <w:multiLevelType w:val="hybridMultilevel"/>
    <w:tmpl w:val="0B5E75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7339B"/>
    <w:multiLevelType w:val="hybridMultilevel"/>
    <w:tmpl w:val="0BA2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19"/>
    <w:rsid w:val="000173A5"/>
    <w:rsid w:val="000D7EEB"/>
    <w:rsid w:val="00170DAB"/>
    <w:rsid w:val="0041725B"/>
    <w:rsid w:val="005D34F1"/>
    <w:rsid w:val="00687A14"/>
    <w:rsid w:val="007878F7"/>
    <w:rsid w:val="00791BE6"/>
    <w:rsid w:val="007D1BC6"/>
    <w:rsid w:val="007F1EE7"/>
    <w:rsid w:val="0087215E"/>
    <w:rsid w:val="00910761"/>
    <w:rsid w:val="009A5E55"/>
    <w:rsid w:val="00AF63E6"/>
    <w:rsid w:val="00AF7951"/>
    <w:rsid w:val="00B3387D"/>
    <w:rsid w:val="00BC7286"/>
    <w:rsid w:val="00CB6000"/>
    <w:rsid w:val="00D6425C"/>
    <w:rsid w:val="00E15319"/>
    <w:rsid w:val="00EE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582F"/>
  <w15:chartTrackingRefBased/>
  <w15:docId w15:val="{5D97E6C5-28A6-44BE-B8B9-F3F26F88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19"/>
    <w:rPr>
      <w:color w:val="0000FF"/>
      <w:u w:val="single"/>
    </w:rPr>
  </w:style>
  <w:style w:type="paragraph" w:styleId="ListParagraph">
    <w:name w:val="List Paragraph"/>
    <w:basedOn w:val="Normal"/>
    <w:uiPriority w:val="34"/>
    <w:qFormat/>
    <w:rsid w:val="00E15319"/>
    <w:pPr>
      <w:spacing w:after="160" w:line="259" w:lineRule="auto"/>
      <w:ind w:left="720"/>
      <w:contextualSpacing/>
    </w:pPr>
  </w:style>
  <w:style w:type="paragraph" w:customStyle="1" w:styleId="Default">
    <w:name w:val="Default"/>
    <w:rsid w:val="00E15319"/>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7D1BC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styleId="UnresolvedMention">
    <w:name w:val="Unresolved Mention"/>
    <w:basedOn w:val="DefaultParagraphFont"/>
    <w:uiPriority w:val="99"/>
    <w:semiHidden/>
    <w:unhideWhenUsed/>
    <w:rsid w:val="00AF7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sscp.org.uk/sussex-wide-suicide-bereavement-support/" TargetMode="External"/><Relationship Id="rId4" Type="http://schemas.openxmlformats.org/officeDocument/2006/relationships/customXml" Target="../customXml/item4.xml"/><Relationship Id="rId9" Type="http://schemas.openxmlformats.org/officeDocument/2006/relationships/hyperlink" Target="mailto:ESSCP.Contac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2992CEE1-68CB-4115-B330-19843A2E4818}">
  <ds:schemaRefs>
    <ds:schemaRef ds:uri="http://schemas.microsoft.com/sharepoint/v3/contenttype/forms"/>
  </ds:schemaRefs>
</ds:datastoreItem>
</file>

<file path=customXml/itemProps2.xml><?xml version="1.0" encoding="utf-8"?>
<ds:datastoreItem xmlns:ds="http://schemas.openxmlformats.org/officeDocument/2006/customXml" ds:itemID="{C8A904B6-AF37-4A51-9892-C9355707CE18}">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4DF9249-6A1F-4D10-AEAF-4B261F97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8123-E654-44B6-A5DC-71A375E5F2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2</cp:revision>
  <dcterms:created xsi:type="dcterms:W3CDTF">2021-04-01T14:54:00Z</dcterms:created>
  <dcterms:modified xsi:type="dcterms:W3CDTF">2021-04-01T14:54:00Z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y fmtid="{D5CDD505-2E9C-101B-9397-08002B2CF9AE}" pid="3" name="IsMyDocuments">
    <vt:bool>true</vt:bool>
  </property>
</Properties>
</file>