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1373" w14:textId="77777777" w:rsidR="0054743D" w:rsidRPr="007E5AFF" w:rsidRDefault="0054743D" w:rsidP="002F12EF">
      <w:pPr>
        <w:spacing w:after="0"/>
        <w:jc w:val="both"/>
        <w:rPr>
          <w:rFonts w:ascii="Tw Cen MT" w:hAnsi="Tw Cen MT"/>
        </w:rPr>
      </w:pPr>
      <w:bookmarkStart w:id="0" w:name="_Hlk77857029"/>
      <w:r w:rsidRPr="007E5AFF">
        <w:rPr>
          <w:rFonts w:ascii="Tw Cen MT" w:hAnsi="Tw Cen MT"/>
        </w:rPr>
        <w:t>Welcome to the East Sussex Safeguarding Children Partnership (ESSCP) Board Briefing. The briefing is intended to provide you with the key headlines from each Board meeting so that you can quickly catch up with decisions and learning and disseminate them to your staff.  Minutes of the meeting will continue to be circulated to Board members.</w:t>
      </w:r>
    </w:p>
    <w:p w14:paraId="0E3208D5" w14:textId="77777777" w:rsidR="0054743D" w:rsidRPr="007E5AFF" w:rsidRDefault="0054743D" w:rsidP="002F12EF">
      <w:pPr>
        <w:spacing w:after="0"/>
        <w:jc w:val="both"/>
        <w:rPr>
          <w:rFonts w:ascii="Tw Cen MT" w:hAnsi="Tw Cen MT"/>
        </w:rPr>
      </w:pPr>
    </w:p>
    <w:p w14:paraId="308995FE" w14:textId="2B061EDB" w:rsidR="0054743D" w:rsidRPr="007E5AFF" w:rsidRDefault="0054743D" w:rsidP="002F12EF">
      <w:pPr>
        <w:spacing w:after="0"/>
        <w:jc w:val="both"/>
        <w:rPr>
          <w:rFonts w:ascii="Tw Cen MT" w:hAnsi="Tw Cen MT"/>
        </w:rPr>
      </w:pPr>
      <w:r w:rsidRPr="007E5AFF">
        <w:rPr>
          <w:rFonts w:ascii="Tw Cen MT" w:hAnsi="Tw Cen MT"/>
        </w:rPr>
        <w:t>This briefing includes news from the 1</w:t>
      </w:r>
      <w:r w:rsidR="00A476B5" w:rsidRPr="007E5AFF">
        <w:rPr>
          <w:rFonts w:ascii="Tw Cen MT" w:hAnsi="Tw Cen MT"/>
        </w:rPr>
        <w:t>5</w:t>
      </w:r>
      <w:r w:rsidRPr="007E5AFF">
        <w:rPr>
          <w:rFonts w:ascii="Tw Cen MT" w:hAnsi="Tw Cen MT"/>
        </w:rPr>
        <w:t xml:space="preserve"> </w:t>
      </w:r>
      <w:r w:rsidR="00A476B5" w:rsidRPr="007E5AFF">
        <w:rPr>
          <w:rFonts w:ascii="Tw Cen MT" w:hAnsi="Tw Cen MT"/>
        </w:rPr>
        <w:t xml:space="preserve">July </w:t>
      </w:r>
      <w:r w:rsidRPr="007E5AFF">
        <w:rPr>
          <w:rFonts w:ascii="Tw Cen MT" w:hAnsi="Tw Cen MT"/>
        </w:rPr>
        <w:t xml:space="preserve">2021 virtual Board meeting. If you have any comments on the briefing, or questions about the contents, please contact us on </w:t>
      </w:r>
      <w:hyperlink r:id="rId5" w:history="1">
        <w:r w:rsidRPr="007E5AFF">
          <w:rPr>
            <w:rStyle w:val="Hyperlink"/>
            <w:rFonts w:ascii="Tw Cen MT" w:hAnsi="Tw Cen MT"/>
          </w:rPr>
          <w:t>ESSCP.Contact@eastsussex.gov.uk</w:t>
        </w:r>
      </w:hyperlink>
      <w:r w:rsidRPr="007E5AFF">
        <w:rPr>
          <w:rFonts w:ascii="Tw Cen MT" w:hAnsi="Tw Cen MT"/>
        </w:rPr>
        <w:t>.</w:t>
      </w:r>
    </w:p>
    <w:p w14:paraId="294BF71C" w14:textId="77777777" w:rsidR="0054743D" w:rsidRPr="007E5AFF" w:rsidRDefault="0054743D" w:rsidP="002F12EF">
      <w:pPr>
        <w:spacing w:after="0"/>
        <w:jc w:val="both"/>
        <w:rPr>
          <w:rFonts w:ascii="Tw Cen MT" w:hAnsi="Tw Cen MT" w:cs="Arial"/>
          <w:b/>
        </w:rPr>
      </w:pPr>
    </w:p>
    <w:p w14:paraId="2EF79396" w14:textId="6253ABBC" w:rsidR="0054743D" w:rsidRPr="007E5AFF" w:rsidRDefault="0054743D" w:rsidP="002F12EF">
      <w:pPr>
        <w:jc w:val="both"/>
        <w:rPr>
          <w:rFonts w:ascii="Tw Cen MT" w:hAnsi="Tw Cen MT"/>
        </w:rPr>
      </w:pPr>
      <w:r w:rsidRPr="007E5AFF">
        <w:rPr>
          <w:rFonts w:ascii="Tw Cen MT" w:hAnsi="Tw Cen MT" w:cs="Arial"/>
          <w:b/>
        </w:rPr>
        <w:t>Critical Service Issues</w:t>
      </w:r>
    </w:p>
    <w:p w14:paraId="0049B7BB" w14:textId="2D8EAFB0" w:rsidR="0054743D" w:rsidRPr="007E5AFF" w:rsidRDefault="00A476B5" w:rsidP="002F12EF">
      <w:pPr>
        <w:jc w:val="both"/>
        <w:rPr>
          <w:rFonts w:ascii="Tw Cen MT" w:hAnsi="Tw Cen MT"/>
        </w:rPr>
      </w:pPr>
      <w:r w:rsidRPr="007E5AFF">
        <w:rPr>
          <w:rFonts w:ascii="Tw Cen MT" w:hAnsi="Tw Cen MT"/>
        </w:rPr>
        <w:t xml:space="preserve">Board members were invited to share critical service issues with the partnership. The Chair noted the </w:t>
      </w:r>
      <w:r w:rsidR="0054743D" w:rsidRPr="007E5AFF">
        <w:rPr>
          <w:rFonts w:ascii="Tw Cen MT" w:hAnsi="Tw Cen MT"/>
        </w:rPr>
        <w:t xml:space="preserve">considerable increase in the volume of </w:t>
      </w:r>
      <w:r w:rsidRPr="007E5AFF">
        <w:rPr>
          <w:rFonts w:ascii="Tw Cen MT" w:hAnsi="Tw Cen MT"/>
        </w:rPr>
        <w:t xml:space="preserve">case </w:t>
      </w:r>
      <w:r w:rsidR="0054743D" w:rsidRPr="007E5AFF">
        <w:rPr>
          <w:rFonts w:ascii="Tw Cen MT" w:hAnsi="Tw Cen MT"/>
        </w:rPr>
        <w:t>review work</w:t>
      </w:r>
      <w:r w:rsidRPr="007E5AFF">
        <w:rPr>
          <w:rFonts w:ascii="Tw Cen MT" w:hAnsi="Tw Cen MT"/>
        </w:rPr>
        <w:t xml:space="preserve"> and the significant pressure this has placed on agencies to contribute, and the Case Review Group (CRG) to review. The Board </w:t>
      </w:r>
      <w:r w:rsidR="00A25205">
        <w:rPr>
          <w:rFonts w:ascii="Tw Cen MT" w:hAnsi="Tw Cen MT"/>
        </w:rPr>
        <w:t>noted the</w:t>
      </w:r>
      <w:r w:rsidRPr="007E5AFF">
        <w:rPr>
          <w:rFonts w:ascii="Tw Cen MT" w:hAnsi="Tw Cen MT"/>
        </w:rPr>
        <w:t xml:space="preserve"> increase in case review work across the safeguarding system (</w:t>
      </w:r>
      <w:r w:rsidR="00C72BAD" w:rsidRPr="007E5AFF">
        <w:rPr>
          <w:rFonts w:ascii="Tw Cen MT" w:hAnsi="Tw Cen MT"/>
        </w:rPr>
        <w:t xml:space="preserve">as seen in the </w:t>
      </w:r>
      <w:r w:rsidRPr="007E5AFF">
        <w:rPr>
          <w:rFonts w:ascii="Tw Cen MT" w:hAnsi="Tw Cen MT"/>
        </w:rPr>
        <w:t xml:space="preserve">increase in Safeguarding Adults Reviews and </w:t>
      </w:r>
      <w:r w:rsidR="0054743D" w:rsidRPr="007E5AFF">
        <w:rPr>
          <w:rFonts w:ascii="Tw Cen MT" w:hAnsi="Tw Cen MT"/>
        </w:rPr>
        <w:t>domestic homicide reviews</w:t>
      </w:r>
      <w:r w:rsidRPr="007E5AFF">
        <w:rPr>
          <w:rFonts w:ascii="Tw Cen MT" w:hAnsi="Tw Cen MT"/>
        </w:rPr>
        <w:t xml:space="preserve">). </w:t>
      </w:r>
    </w:p>
    <w:p w14:paraId="7228DEF3" w14:textId="282CA93E" w:rsidR="0054743D" w:rsidRPr="007E5AFF" w:rsidRDefault="00A476B5" w:rsidP="002F12EF">
      <w:pPr>
        <w:jc w:val="both"/>
        <w:rPr>
          <w:rFonts w:ascii="Tw Cen MT" w:hAnsi="Tw Cen MT"/>
        </w:rPr>
      </w:pPr>
      <w:r w:rsidRPr="007E5AFF">
        <w:rPr>
          <w:rFonts w:ascii="Tw Cen MT" w:hAnsi="Tw Cen MT"/>
        </w:rPr>
        <w:t xml:space="preserve">The Chair noted recent correspondence </w:t>
      </w:r>
      <w:r w:rsidR="00321BBE" w:rsidRPr="007E5AFF">
        <w:rPr>
          <w:rFonts w:ascii="Tw Cen MT" w:hAnsi="Tw Cen MT"/>
        </w:rPr>
        <w:t xml:space="preserve">that </w:t>
      </w:r>
      <w:r w:rsidR="0054743D" w:rsidRPr="007E5AFF">
        <w:rPr>
          <w:rFonts w:ascii="Tw Cen MT" w:hAnsi="Tw Cen MT"/>
        </w:rPr>
        <w:t xml:space="preserve">Ticehurst Priory </w:t>
      </w:r>
      <w:r w:rsidR="00C72BAD" w:rsidRPr="007E5AFF">
        <w:rPr>
          <w:rFonts w:ascii="Tw Cen MT" w:hAnsi="Tw Cen MT"/>
        </w:rPr>
        <w:t>H</w:t>
      </w:r>
      <w:r w:rsidR="0054743D" w:rsidRPr="007E5AFF">
        <w:rPr>
          <w:rFonts w:ascii="Tw Cen MT" w:hAnsi="Tw Cen MT"/>
        </w:rPr>
        <w:t>ospital ha</w:t>
      </w:r>
      <w:r w:rsidR="00A25205">
        <w:rPr>
          <w:rFonts w:ascii="Tw Cen MT" w:hAnsi="Tw Cen MT"/>
        </w:rPr>
        <w:t>d</w:t>
      </w:r>
      <w:r w:rsidR="0054743D" w:rsidRPr="007E5AFF">
        <w:rPr>
          <w:rFonts w:ascii="Tw Cen MT" w:hAnsi="Tw Cen MT"/>
        </w:rPr>
        <w:t xml:space="preserve"> closed </w:t>
      </w:r>
      <w:r w:rsidR="00A25205">
        <w:rPr>
          <w:rFonts w:ascii="Tw Cen MT" w:hAnsi="Tw Cen MT"/>
        </w:rPr>
        <w:t>its</w:t>
      </w:r>
      <w:r w:rsidR="0054743D" w:rsidRPr="007E5AFF">
        <w:rPr>
          <w:rFonts w:ascii="Tw Cen MT" w:hAnsi="Tw Cen MT"/>
        </w:rPr>
        <w:t xml:space="preserve"> child and young person </w:t>
      </w:r>
      <w:r w:rsidR="00321BBE" w:rsidRPr="007E5AFF">
        <w:rPr>
          <w:rFonts w:ascii="Tw Cen MT" w:hAnsi="Tw Cen MT"/>
        </w:rPr>
        <w:t>unit</w:t>
      </w:r>
      <w:r w:rsidR="00C72BAD" w:rsidRPr="007E5AFF">
        <w:rPr>
          <w:rFonts w:ascii="Tw Cen MT" w:hAnsi="Tw Cen MT"/>
        </w:rPr>
        <w:t>. Members discussed their</w:t>
      </w:r>
      <w:r w:rsidR="0054743D" w:rsidRPr="007E5AFF">
        <w:rPr>
          <w:rFonts w:ascii="Tw Cen MT" w:hAnsi="Tw Cen MT"/>
        </w:rPr>
        <w:t xml:space="preserve"> concerns </w:t>
      </w:r>
      <w:r w:rsidR="00C72BAD" w:rsidRPr="007E5AFF">
        <w:rPr>
          <w:rFonts w:ascii="Tw Cen MT" w:hAnsi="Tw Cen MT"/>
        </w:rPr>
        <w:t xml:space="preserve">on the capacity of services to support </w:t>
      </w:r>
      <w:r w:rsidR="0054743D" w:rsidRPr="007E5AFF">
        <w:rPr>
          <w:rFonts w:ascii="Tw Cen MT" w:hAnsi="Tw Cen MT"/>
        </w:rPr>
        <w:t>young people with significant mental health needs</w:t>
      </w:r>
      <w:r w:rsidR="00C72BAD" w:rsidRPr="007E5AFF">
        <w:rPr>
          <w:rFonts w:ascii="Tw Cen MT" w:hAnsi="Tw Cen MT"/>
        </w:rPr>
        <w:t xml:space="preserve">, </w:t>
      </w:r>
      <w:r w:rsidR="00A25205">
        <w:rPr>
          <w:rFonts w:ascii="Tw Cen MT" w:hAnsi="Tw Cen MT"/>
        </w:rPr>
        <w:t>as a</w:t>
      </w:r>
      <w:r w:rsidR="00C72BAD" w:rsidRPr="007E5AFF">
        <w:rPr>
          <w:rFonts w:ascii="Tw Cen MT" w:hAnsi="Tw Cen MT"/>
        </w:rPr>
        <w:t xml:space="preserve"> national as well as a local issue. </w:t>
      </w:r>
    </w:p>
    <w:p w14:paraId="7D7C43D6" w14:textId="48DE2831" w:rsidR="0054743D" w:rsidRPr="007E5AFF" w:rsidRDefault="0054743D" w:rsidP="002F12EF">
      <w:pPr>
        <w:jc w:val="both"/>
        <w:rPr>
          <w:rFonts w:ascii="Tw Cen MT" w:hAnsi="Tw Cen MT"/>
        </w:rPr>
      </w:pPr>
      <w:r w:rsidRPr="007E5AFF">
        <w:rPr>
          <w:rFonts w:ascii="Tw Cen MT" w:hAnsi="Tw Cen MT"/>
        </w:rPr>
        <w:t xml:space="preserve">Concerns </w:t>
      </w:r>
      <w:r w:rsidR="00C72BAD" w:rsidRPr="007E5AFF">
        <w:rPr>
          <w:rFonts w:ascii="Tw Cen MT" w:hAnsi="Tw Cen MT"/>
        </w:rPr>
        <w:t xml:space="preserve">were also raised </w:t>
      </w:r>
      <w:r w:rsidRPr="007E5AFF">
        <w:rPr>
          <w:rFonts w:ascii="Tw Cen MT" w:hAnsi="Tw Cen MT"/>
        </w:rPr>
        <w:t>about</w:t>
      </w:r>
      <w:r w:rsidR="00C72BAD" w:rsidRPr="007E5AFF">
        <w:rPr>
          <w:rFonts w:ascii="Tw Cen MT" w:hAnsi="Tw Cen MT"/>
        </w:rPr>
        <w:t xml:space="preserve"> the predicted</w:t>
      </w:r>
      <w:r w:rsidRPr="007E5AFF">
        <w:rPr>
          <w:rFonts w:ascii="Tw Cen MT" w:hAnsi="Tw Cen MT"/>
        </w:rPr>
        <w:t xml:space="preserve"> additional pressure this winter on acute paediatric beds </w:t>
      </w:r>
      <w:r w:rsidR="00C72BAD" w:rsidRPr="007E5AFF">
        <w:rPr>
          <w:rFonts w:ascii="Tw Cen MT" w:hAnsi="Tw Cen MT"/>
        </w:rPr>
        <w:t>with children admitted to hospital for res</w:t>
      </w:r>
      <w:r w:rsidRPr="007E5AFF">
        <w:rPr>
          <w:rFonts w:ascii="Tw Cen MT" w:hAnsi="Tw Cen MT"/>
        </w:rPr>
        <w:t xml:space="preserve">piratory issues </w:t>
      </w:r>
      <w:r w:rsidR="00C72BAD" w:rsidRPr="007E5AFF">
        <w:rPr>
          <w:rFonts w:ascii="Tw Cen MT" w:hAnsi="Tw Cen MT"/>
        </w:rPr>
        <w:t xml:space="preserve">(as during COVID-19 they have been less exposed to coughs and colds). </w:t>
      </w:r>
    </w:p>
    <w:p w14:paraId="313D5E8F" w14:textId="755C3CFA" w:rsidR="0054743D" w:rsidRPr="007E5AFF" w:rsidRDefault="00C72BAD" w:rsidP="002F12EF">
      <w:pPr>
        <w:jc w:val="both"/>
        <w:rPr>
          <w:rFonts w:ascii="Tw Cen MT" w:hAnsi="Tw Cen MT"/>
        </w:rPr>
      </w:pPr>
      <w:r w:rsidRPr="007E5AFF">
        <w:rPr>
          <w:rFonts w:ascii="Tw Cen MT" w:hAnsi="Tw Cen MT"/>
        </w:rPr>
        <w:t xml:space="preserve">Dr Ward noted the ongoing </w:t>
      </w:r>
      <w:r w:rsidR="0054743D" w:rsidRPr="007E5AFF">
        <w:rPr>
          <w:rFonts w:ascii="Tw Cen MT" w:hAnsi="Tw Cen MT"/>
        </w:rPr>
        <w:t>pressures on community paediatrics (</w:t>
      </w:r>
      <w:r w:rsidRPr="007E5AFF">
        <w:rPr>
          <w:rFonts w:ascii="Tw Cen MT" w:hAnsi="Tw Cen MT"/>
        </w:rPr>
        <w:t xml:space="preserve">including </w:t>
      </w:r>
      <w:r w:rsidR="0054743D" w:rsidRPr="007E5AFF">
        <w:rPr>
          <w:rFonts w:ascii="Tw Cen MT" w:hAnsi="Tw Cen MT"/>
        </w:rPr>
        <w:t xml:space="preserve">autism and developmental assessments) </w:t>
      </w:r>
      <w:r w:rsidR="00A25205">
        <w:rPr>
          <w:rFonts w:ascii="Tw Cen MT" w:hAnsi="Tw Cen MT"/>
        </w:rPr>
        <w:t>from the pandemic</w:t>
      </w:r>
      <w:r w:rsidR="0054743D" w:rsidRPr="007E5AFF">
        <w:rPr>
          <w:rFonts w:ascii="Tw Cen MT" w:hAnsi="Tw Cen MT"/>
        </w:rPr>
        <w:t xml:space="preserve"> and </w:t>
      </w:r>
      <w:r w:rsidRPr="007E5AFF">
        <w:rPr>
          <w:rFonts w:ascii="Tw Cen MT" w:hAnsi="Tw Cen MT"/>
        </w:rPr>
        <w:t xml:space="preserve">reduced </w:t>
      </w:r>
      <w:r w:rsidR="0054743D" w:rsidRPr="007E5AFF">
        <w:rPr>
          <w:rFonts w:ascii="Tw Cen MT" w:hAnsi="Tw Cen MT"/>
        </w:rPr>
        <w:t>assessment space.</w:t>
      </w:r>
      <w:r w:rsidRPr="007E5AFF">
        <w:rPr>
          <w:rFonts w:ascii="Tw Cen MT" w:hAnsi="Tw Cen MT"/>
        </w:rPr>
        <w:t xml:space="preserve"> There is a r</w:t>
      </w:r>
      <w:r w:rsidR="0054743D" w:rsidRPr="007E5AFF">
        <w:rPr>
          <w:rFonts w:ascii="Tw Cen MT" w:hAnsi="Tw Cen MT"/>
        </w:rPr>
        <w:t xml:space="preserve">ecovery plan in place but </w:t>
      </w:r>
      <w:r w:rsidRPr="007E5AFF">
        <w:rPr>
          <w:rFonts w:ascii="Tw Cen MT" w:hAnsi="Tw Cen MT"/>
        </w:rPr>
        <w:t xml:space="preserve">there </w:t>
      </w:r>
      <w:r w:rsidR="0054743D" w:rsidRPr="007E5AFF">
        <w:rPr>
          <w:rFonts w:ascii="Tw Cen MT" w:hAnsi="Tw Cen MT"/>
        </w:rPr>
        <w:t>continues to be a substantial wait</w:t>
      </w:r>
      <w:r w:rsidRPr="007E5AFF">
        <w:rPr>
          <w:rFonts w:ascii="Tw Cen MT" w:hAnsi="Tw Cen MT"/>
        </w:rPr>
        <w:t xml:space="preserve">, as the team </w:t>
      </w:r>
      <w:r w:rsidR="0054743D" w:rsidRPr="007E5AFF">
        <w:rPr>
          <w:rFonts w:ascii="Tw Cen MT" w:hAnsi="Tw Cen MT"/>
        </w:rPr>
        <w:t>prioritis</w:t>
      </w:r>
      <w:r w:rsidRPr="007E5AFF">
        <w:rPr>
          <w:rFonts w:ascii="Tw Cen MT" w:hAnsi="Tw Cen MT"/>
        </w:rPr>
        <w:t xml:space="preserve">e </w:t>
      </w:r>
      <w:r w:rsidR="0054743D" w:rsidRPr="007E5AFF">
        <w:rPr>
          <w:rFonts w:ascii="Tw Cen MT" w:hAnsi="Tw Cen MT"/>
        </w:rPr>
        <w:t>safeguarding</w:t>
      </w:r>
      <w:r w:rsidRPr="007E5AFF">
        <w:rPr>
          <w:rFonts w:ascii="Tw Cen MT" w:hAnsi="Tw Cen MT"/>
        </w:rPr>
        <w:t xml:space="preserve"> and looked after children. </w:t>
      </w:r>
    </w:p>
    <w:p w14:paraId="5F561E88" w14:textId="05DE37A7" w:rsidR="00A476B5" w:rsidRPr="007E5AFF" w:rsidRDefault="00A476B5" w:rsidP="002F12EF">
      <w:pPr>
        <w:jc w:val="both"/>
        <w:rPr>
          <w:rFonts w:ascii="Tw Cen MT" w:hAnsi="Tw Cen MT"/>
        </w:rPr>
      </w:pPr>
    </w:p>
    <w:p w14:paraId="3909B8E4" w14:textId="71C0F349" w:rsidR="00A476B5" w:rsidRPr="007E5AFF" w:rsidRDefault="00A476B5" w:rsidP="002F12EF">
      <w:pPr>
        <w:jc w:val="both"/>
        <w:rPr>
          <w:rFonts w:ascii="Tw Cen MT" w:hAnsi="Tw Cen MT"/>
          <w:b/>
          <w:bCs/>
        </w:rPr>
      </w:pPr>
      <w:r w:rsidRPr="007E5AFF">
        <w:rPr>
          <w:rFonts w:ascii="Tw Cen MT" w:hAnsi="Tw Cen MT"/>
          <w:b/>
          <w:bCs/>
        </w:rPr>
        <w:t xml:space="preserve">Child Protection Conferencing Annual Report </w:t>
      </w:r>
    </w:p>
    <w:p w14:paraId="019E7B5A" w14:textId="6E9C4678" w:rsidR="00C72BAD" w:rsidRPr="007E5AFF" w:rsidRDefault="00A476B5" w:rsidP="002F12EF">
      <w:pPr>
        <w:jc w:val="both"/>
        <w:rPr>
          <w:rFonts w:ascii="Tw Cen MT" w:hAnsi="Tw Cen MT"/>
        </w:rPr>
      </w:pPr>
      <w:r w:rsidRPr="007E5AFF">
        <w:rPr>
          <w:rFonts w:ascii="Tw Cen MT" w:hAnsi="Tw Cen MT"/>
        </w:rPr>
        <w:t xml:space="preserve">Douglas Sinclair, Head of </w:t>
      </w:r>
      <w:proofErr w:type="spellStart"/>
      <w:r w:rsidRPr="007E5AFF">
        <w:rPr>
          <w:rFonts w:ascii="Tw Cen MT" w:hAnsi="Tw Cen MT"/>
        </w:rPr>
        <w:t>Childrens</w:t>
      </w:r>
      <w:proofErr w:type="spellEnd"/>
      <w:r w:rsidRPr="007E5AFF">
        <w:rPr>
          <w:rFonts w:ascii="Tw Cen MT" w:hAnsi="Tw Cen MT"/>
        </w:rPr>
        <w:t xml:space="preserve"> Safeguarding, presented the highlights of the 2020-21 Annual Report. Douglas flagged that following the use of digital technology to facilitate child protection conferences during the pandemic, the </w:t>
      </w:r>
      <w:r w:rsidR="00C72BAD" w:rsidRPr="007E5AFF">
        <w:rPr>
          <w:rFonts w:ascii="Tw Cen MT" w:hAnsi="Tw Cen MT"/>
        </w:rPr>
        <w:t xml:space="preserve">service </w:t>
      </w:r>
      <w:r w:rsidRPr="007E5AFF">
        <w:rPr>
          <w:rFonts w:ascii="Tw Cen MT" w:hAnsi="Tw Cen MT"/>
        </w:rPr>
        <w:t xml:space="preserve">would continue to use a hybrid model where agencies can attend virtually. The Board noted that the CP Unit is within range of its targets for </w:t>
      </w:r>
      <w:proofErr w:type="gramStart"/>
      <w:r w:rsidRPr="007E5AFF">
        <w:rPr>
          <w:rFonts w:ascii="Tw Cen MT" w:hAnsi="Tw Cen MT"/>
        </w:rPr>
        <w:t>the majority of</w:t>
      </w:r>
      <w:proofErr w:type="gramEnd"/>
      <w:r w:rsidRPr="007E5AFF">
        <w:rPr>
          <w:rFonts w:ascii="Tw Cen MT" w:hAnsi="Tw Cen MT"/>
        </w:rPr>
        <w:t xml:space="preserve"> performance indicators. The report also identified the team’s challenges to address, including: ensuring agency reports are consistently prepared and shared in advance of the conference; providing families with essential information in a way that they understand; ensuring GDPR compliance in all written information provided for conferences; and considering reasons why the proportion of disabled children subject of a CP Plan remains disproportionately low, compared to nationally. </w:t>
      </w:r>
    </w:p>
    <w:p w14:paraId="12423122" w14:textId="02215A2B" w:rsidR="00A476B5" w:rsidRPr="007E5AFF" w:rsidRDefault="00C72BAD" w:rsidP="002F12EF">
      <w:pPr>
        <w:jc w:val="both"/>
        <w:rPr>
          <w:rFonts w:ascii="Tw Cen MT" w:hAnsi="Tw Cen MT"/>
        </w:rPr>
      </w:pPr>
      <w:r w:rsidRPr="007E5AFF">
        <w:rPr>
          <w:rFonts w:ascii="Tw Cen MT" w:hAnsi="Tw Cen MT"/>
        </w:rPr>
        <w:t>The Board discussed the ESCC approach to ensuring that they have the ‘right children, on the right plan, for the right amount of time’.</w:t>
      </w:r>
      <w:r w:rsidR="00321BBE" w:rsidRPr="007E5AFF">
        <w:rPr>
          <w:rFonts w:ascii="Tw Cen MT" w:hAnsi="Tw Cen MT"/>
        </w:rPr>
        <w:t xml:space="preserve"> </w:t>
      </w:r>
    </w:p>
    <w:p w14:paraId="34BEC62F" w14:textId="05968DE2" w:rsidR="00321BBE" w:rsidRPr="007E5AFF" w:rsidRDefault="00321BBE" w:rsidP="002F12EF">
      <w:pPr>
        <w:jc w:val="both"/>
        <w:rPr>
          <w:rFonts w:ascii="Tw Cen MT" w:hAnsi="Tw Cen MT"/>
        </w:rPr>
      </w:pPr>
      <w:r w:rsidRPr="007E5AFF">
        <w:rPr>
          <w:rFonts w:ascii="Tw Cen MT" w:hAnsi="Tw Cen MT"/>
        </w:rPr>
        <w:t xml:space="preserve">Douglas </w:t>
      </w:r>
      <w:r w:rsidR="007E5AFF" w:rsidRPr="007E5AFF">
        <w:rPr>
          <w:rFonts w:ascii="Tw Cen MT" w:hAnsi="Tw Cen MT"/>
        </w:rPr>
        <w:t xml:space="preserve">reiterated the importance of agencies submitting reports in advance of CP meetings and noted that the CP Unit are following up with individual managers when this is not happening. The Chair also asked that this is followed by the Steering Group in September.  </w:t>
      </w:r>
    </w:p>
    <w:p w14:paraId="7C7908C8" w14:textId="21F55506" w:rsidR="00AC0198" w:rsidRPr="007E5AFF" w:rsidRDefault="00AC0198" w:rsidP="002F12EF">
      <w:pPr>
        <w:jc w:val="both"/>
        <w:rPr>
          <w:rFonts w:ascii="Tw Cen MT" w:hAnsi="Tw Cen MT"/>
          <w:b/>
          <w:bCs/>
        </w:rPr>
      </w:pPr>
      <w:r w:rsidRPr="007E5AFF">
        <w:rPr>
          <w:rFonts w:ascii="Tw Cen MT" w:hAnsi="Tw Cen MT"/>
          <w:b/>
          <w:bCs/>
        </w:rPr>
        <w:t xml:space="preserve">Local Authority Designated Officer (LADO) Annual Report </w:t>
      </w:r>
    </w:p>
    <w:p w14:paraId="0862F5B1" w14:textId="0C5EF242" w:rsidR="005A4757" w:rsidRPr="005A4757" w:rsidRDefault="007E5AFF" w:rsidP="002F12EF">
      <w:pPr>
        <w:jc w:val="both"/>
        <w:rPr>
          <w:rFonts w:ascii="Tw Cen MT" w:hAnsi="Tw Cen MT"/>
        </w:rPr>
      </w:pPr>
      <w:r>
        <w:rPr>
          <w:rFonts w:ascii="Tw Cen MT" w:hAnsi="Tw Cen MT"/>
        </w:rPr>
        <w:t>Sam Efde presented the annual LADO report</w:t>
      </w:r>
      <w:r w:rsidR="005A4757">
        <w:rPr>
          <w:rFonts w:ascii="Tw Cen MT" w:hAnsi="Tw Cen MT"/>
        </w:rPr>
        <w:t xml:space="preserve">, which details the work of the team to provide independent advice to employers or agencies when a concern has been raised about an adult who works or volunteers in a role where they have contact with children. The Board noted how </w:t>
      </w:r>
      <w:proofErr w:type="gramStart"/>
      <w:r w:rsidR="005A4757" w:rsidRPr="005A4757">
        <w:rPr>
          <w:rFonts w:ascii="Tw Cen MT" w:hAnsi="Tw Cen MT"/>
        </w:rPr>
        <w:t>The</w:t>
      </w:r>
      <w:proofErr w:type="gramEnd"/>
      <w:r w:rsidR="005A4757" w:rsidRPr="005A4757">
        <w:rPr>
          <w:rFonts w:ascii="Tw Cen MT" w:hAnsi="Tw Cen MT"/>
        </w:rPr>
        <w:t xml:space="preserve"> </w:t>
      </w:r>
      <w:r w:rsidR="00A25205">
        <w:rPr>
          <w:rFonts w:ascii="Tw Cen MT" w:hAnsi="Tw Cen MT"/>
        </w:rPr>
        <w:t>p</w:t>
      </w:r>
      <w:r w:rsidR="005A4757" w:rsidRPr="005A4757">
        <w:rPr>
          <w:rFonts w:ascii="Tw Cen MT" w:hAnsi="Tw Cen MT"/>
        </w:rPr>
        <w:t xml:space="preserve">andemic has impacted significantly on referrals to the LADO service </w:t>
      </w:r>
      <w:r w:rsidR="005A4757">
        <w:rPr>
          <w:rFonts w:ascii="Tw Cen MT" w:hAnsi="Tw Cen MT"/>
        </w:rPr>
        <w:t>with</w:t>
      </w:r>
      <w:r w:rsidR="005A4757" w:rsidRPr="005A4757">
        <w:rPr>
          <w:rFonts w:ascii="Tw Cen MT" w:hAnsi="Tw Cen MT"/>
        </w:rPr>
        <w:t xml:space="preserve"> reduced referrals from Education settings and Sports</w:t>
      </w:r>
      <w:r w:rsidR="005A4757">
        <w:rPr>
          <w:rFonts w:ascii="Tw Cen MT" w:hAnsi="Tw Cen MT"/>
        </w:rPr>
        <w:t xml:space="preserve">. </w:t>
      </w:r>
    </w:p>
    <w:p w14:paraId="5BCB94BB" w14:textId="57783335" w:rsidR="007E5AFF" w:rsidRPr="007E5AFF" w:rsidRDefault="005A4757" w:rsidP="002F12EF">
      <w:pPr>
        <w:jc w:val="both"/>
        <w:rPr>
          <w:rFonts w:ascii="Tw Cen MT" w:hAnsi="Tw Cen MT"/>
        </w:rPr>
      </w:pPr>
      <w:r>
        <w:rPr>
          <w:rFonts w:ascii="Tw Cen MT" w:hAnsi="Tw Cen MT"/>
        </w:rPr>
        <w:t xml:space="preserve"> </w:t>
      </w:r>
    </w:p>
    <w:p w14:paraId="1231BDBA" w14:textId="7558E77B" w:rsidR="00AC0198" w:rsidRPr="00DC4E25" w:rsidRDefault="005A4757" w:rsidP="002F12EF">
      <w:pPr>
        <w:pStyle w:val="Default"/>
        <w:spacing w:line="276" w:lineRule="auto"/>
        <w:jc w:val="both"/>
        <w:rPr>
          <w:rFonts w:ascii="Tw Cen MT" w:hAnsi="Tw Cen MT"/>
          <w:sz w:val="22"/>
          <w:szCs w:val="22"/>
        </w:rPr>
      </w:pPr>
      <w:r w:rsidRPr="00DC4E25">
        <w:rPr>
          <w:rFonts w:ascii="Tw Cen MT" w:hAnsi="Tw Cen MT"/>
          <w:sz w:val="22"/>
          <w:szCs w:val="22"/>
        </w:rPr>
        <w:lastRenderedPageBreak/>
        <w:t xml:space="preserve">The Board also noted that safer recruitment continues to be an issue </w:t>
      </w:r>
      <w:r w:rsidR="00A25205">
        <w:rPr>
          <w:rFonts w:ascii="Tw Cen MT" w:hAnsi="Tw Cen MT"/>
          <w:sz w:val="22"/>
          <w:szCs w:val="22"/>
        </w:rPr>
        <w:t xml:space="preserve">for agencies </w:t>
      </w:r>
      <w:r w:rsidRPr="00DC4E25">
        <w:rPr>
          <w:rFonts w:ascii="Tw Cen MT" w:hAnsi="Tw Cen MT"/>
          <w:sz w:val="22"/>
          <w:szCs w:val="22"/>
        </w:rPr>
        <w:t xml:space="preserve">with the LADO team stepping up their training offer to meet demand. Training has also been offered to faith groups, employment agencies and Sports settings to promote learning and raise awareness of the LADO role. </w:t>
      </w:r>
      <w:r w:rsidR="003372E4" w:rsidRPr="00DC4E25">
        <w:rPr>
          <w:rFonts w:ascii="Tw Cen MT" w:hAnsi="Tw Cen MT"/>
          <w:sz w:val="22"/>
          <w:szCs w:val="22"/>
        </w:rPr>
        <w:t>The Chair offered the partnerships support to the LADO team’s efforts to engage with faith groups and other out of school settings.</w:t>
      </w:r>
      <w:r w:rsidR="003372E4" w:rsidRPr="00DC4E25">
        <w:rPr>
          <w:rFonts w:ascii="Tw Cen MT" w:hAnsi="Tw Cen MT"/>
        </w:rPr>
        <w:t xml:space="preserve"> </w:t>
      </w:r>
      <w:r w:rsidR="00AC0198" w:rsidRPr="00DC4E25">
        <w:rPr>
          <w:rFonts w:ascii="Tw Cen MT" w:hAnsi="Tw Cen MT"/>
        </w:rPr>
        <w:t xml:space="preserve"> </w:t>
      </w:r>
    </w:p>
    <w:p w14:paraId="304D5B74" w14:textId="5648C937" w:rsidR="00AC0198" w:rsidRPr="00DC4E25" w:rsidRDefault="00AC0198" w:rsidP="002F12EF">
      <w:pPr>
        <w:jc w:val="both"/>
        <w:rPr>
          <w:rFonts w:ascii="Tw Cen MT" w:hAnsi="Tw Cen MT"/>
        </w:rPr>
      </w:pPr>
    </w:p>
    <w:p w14:paraId="5AB433AB" w14:textId="77777777" w:rsidR="000B17E5" w:rsidRPr="00DC4E25" w:rsidRDefault="000B17E5" w:rsidP="002F12EF">
      <w:pPr>
        <w:spacing w:before="120" w:after="120"/>
        <w:jc w:val="both"/>
        <w:rPr>
          <w:rFonts w:ascii="Tw Cen MT" w:hAnsi="Tw Cen MT" w:cs="Arial"/>
          <w:b/>
        </w:rPr>
      </w:pPr>
      <w:r w:rsidRPr="00DC4E25">
        <w:rPr>
          <w:rFonts w:ascii="Tw Cen MT" w:hAnsi="Tw Cen MT" w:cs="Arial"/>
          <w:b/>
        </w:rPr>
        <w:t>Introduction to the new Serious Violence duty</w:t>
      </w:r>
    </w:p>
    <w:p w14:paraId="415C2729" w14:textId="475C1CBD" w:rsidR="000B17E5" w:rsidRDefault="000B17E5" w:rsidP="002F12EF">
      <w:pPr>
        <w:jc w:val="both"/>
        <w:rPr>
          <w:rFonts w:ascii="Tw Cen MT" w:hAnsi="Tw Cen MT"/>
        </w:rPr>
      </w:pPr>
      <w:r w:rsidRPr="00DC4E25">
        <w:rPr>
          <w:rFonts w:ascii="Tw Cen MT" w:hAnsi="Tw Cen MT"/>
        </w:rPr>
        <w:t xml:space="preserve">Justine Armstrong-Smith, Safer Communities Manager, presented an overview of the Serious Violence Duty and the implications for the ESSCP. The Board </w:t>
      </w:r>
      <w:r w:rsidR="00DC4E25" w:rsidRPr="00DC4E25">
        <w:rPr>
          <w:rFonts w:ascii="Tw Cen MT" w:hAnsi="Tw Cen MT"/>
        </w:rPr>
        <w:t>were informed of</w:t>
      </w:r>
      <w:r w:rsidRPr="00DC4E25">
        <w:rPr>
          <w:rFonts w:ascii="Tw Cen MT" w:hAnsi="Tw Cen MT"/>
        </w:rPr>
        <w:t xml:space="preserve"> the requirement for local areas to formulate and </w:t>
      </w:r>
      <w:r w:rsidR="00DC4E25" w:rsidRPr="00DC4E25">
        <w:rPr>
          <w:rFonts w:ascii="Tw Cen MT" w:hAnsi="Tw Cen MT"/>
        </w:rPr>
        <w:t>implement</w:t>
      </w:r>
      <w:r w:rsidRPr="00DC4E25">
        <w:rPr>
          <w:rFonts w:ascii="Tw Cen MT" w:hAnsi="Tw Cen MT"/>
        </w:rPr>
        <w:t xml:space="preserve"> a strategy to prevent and reduce serious violence (which includes knife crime, county lines drug dealing)</w:t>
      </w:r>
      <w:r w:rsidR="00A25205">
        <w:rPr>
          <w:rFonts w:ascii="Tw Cen MT" w:hAnsi="Tw Cen MT"/>
        </w:rPr>
        <w:t>.</w:t>
      </w:r>
      <w:r w:rsidR="00DC4E25" w:rsidRPr="00DC4E25">
        <w:rPr>
          <w:rFonts w:ascii="Tw Cen MT" w:hAnsi="Tw Cen MT"/>
        </w:rPr>
        <w:t xml:space="preserve"> </w:t>
      </w:r>
      <w:r w:rsidRPr="00DC4E25">
        <w:rPr>
          <w:rFonts w:ascii="Tw Cen MT" w:hAnsi="Tw Cen MT"/>
        </w:rPr>
        <w:t xml:space="preserve">The Board noted that there </w:t>
      </w:r>
      <w:r w:rsidR="00DC4E25" w:rsidRPr="00DC4E25">
        <w:rPr>
          <w:rFonts w:ascii="Tw Cen MT" w:hAnsi="Tw Cen MT"/>
        </w:rPr>
        <w:t>has been a Violence Reduction Partnership in East Sussex for a while which has focused on serious violence hotspots, including those in Eastbourne and Hastings, which brings together communities to troubleshoot. Justine informed the Board that the local rate for serious violence offenders/victims was</w:t>
      </w:r>
      <w:r w:rsidR="00A25205">
        <w:rPr>
          <w:rFonts w:ascii="Tw Cen MT" w:hAnsi="Tw Cen MT"/>
        </w:rPr>
        <w:t xml:space="preserve"> highest</w:t>
      </w:r>
      <w:r w:rsidR="00DC4E25" w:rsidRPr="00DC4E25">
        <w:rPr>
          <w:rFonts w:ascii="Tw Cen MT" w:hAnsi="Tw Cen MT"/>
        </w:rPr>
        <w:t xml:space="preserve"> in the </w:t>
      </w:r>
      <w:proofErr w:type="gramStart"/>
      <w:r w:rsidR="00DC4E25" w:rsidRPr="00DC4E25">
        <w:rPr>
          <w:rFonts w:ascii="Tw Cen MT" w:hAnsi="Tw Cen MT"/>
        </w:rPr>
        <w:t>18-24 year old</w:t>
      </w:r>
      <w:proofErr w:type="gramEnd"/>
      <w:r w:rsidR="00DC4E25" w:rsidRPr="00DC4E25">
        <w:rPr>
          <w:rFonts w:ascii="Tw Cen MT" w:hAnsi="Tw Cen MT"/>
        </w:rPr>
        <w:t xml:space="preserve"> group. The Board discussed the overlaps with the Multi-Agency Child Exploitation work, contextual safeguarding, and work between child and adult services on transitions. </w:t>
      </w:r>
    </w:p>
    <w:p w14:paraId="54AC5B11" w14:textId="732E6DD2" w:rsidR="00DC4E25" w:rsidRDefault="00DC4E25" w:rsidP="002F12EF">
      <w:pPr>
        <w:jc w:val="both"/>
        <w:rPr>
          <w:rFonts w:ascii="Tw Cen MT" w:hAnsi="Tw Cen MT"/>
        </w:rPr>
      </w:pPr>
    </w:p>
    <w:p w14:paraId="57380F8B" w14:textId="7FADFEE3" w:rsidR="00DC4E25" w:rsidRDefault="00DC4E25" w:rsidP="002F12EF">
      <w:pPr>
        <w:jc w:val="both"/>
        <w:rPr>
          <w:rFonts w:ascii="Tw Cen MT" w:hAnsi="Tw Cen MT"/>
          <w:b/>
          <w:bCs/>
        </w:rPr>
      </w:pPr>
      <w:r>
        <w:rPr>
          <w:rFonts w:ascii="Tw Cen MT" w:hAnsi="Tw Cen MT"/>
          <w:b/>
          <w:bCs/>
        </w:rPr>
        <w:t xml:space="preserve">Tackling Child Exploitation Support Programme – Research in Practice </w:t>
      </w:r>
    </w:p>
    <w:p w14:paraId="51184965" w14:textId="525BC129" w:rsidR="00DC4E25" w:rsidRPr="00A25205" w:rsidRDefault="006863FD" w:rsidP="002F12EF">
      <w:pPr>
        <w:jc w:val="both"/>
        <w:rPr>
          <w:rFonts w:ascii="Tw Cen MT" w:hAnsi="Tw Cen MT"/>
        </w:rPr>
      </w:pPr>
      <w:r>
        <w:rPr>
          <w:rFonts w:ascii="Tw Cen MT" w:hAnsi="Tw Cen MT"/>
        </w:rPr>
        <w:t xml:space="preserve">Anna </w:t>
      </w:r>
      <w:proofErr w:type="spellStart"/>
      <w:r>
        <w:rPr>
          <w:rFonts w:ascii="Tw Cen MT" w:hAnsi="Tw Cen MT"/>
        </w:rPr>
        <w:t>Racher</w:t>
      </w:r>
      <w:proofErr w:type="spellEnd"/>
      <w:r w:rsidR="00A25205">
        <w:rPr>
          <w:rFonts w:ascii="Tw Cen MT" w:hAnsi="Tw Cen MT"/>
        </w:rPr>
        <w:t>,</w:t>
      </w:r>
      <w:r>
        <w:rPr>
          <w:rFonts w:ascii="Tw Cen MT" w:hAnsi="Tw Cen MT"/>
        </w:rPr>
        <w:t xml:space="preserve"> from the organisation Research in Practice</w:t>
      </w:r>
      <w:r w:rsidR="00A25205">
        <w:rPr>
          <w:rFonts w:ascii="Tw Cen MT" w:hAnsi="Tw Cen MT"/>
        </w:rPr>
        <w:t xml:space="preserve">, attended </w:t>
      </w:r>
      <w:r>
        <w:rPr>
          <w:rFonts w:ascii="Tw Cen MT" w:hAnsi="Tw Cen MT"/>
        </w:rPr>
        <w:t xml:space="preserve">the Board to talk about the work </w:t>
      </w:r>
      <w:r w:rsidR="00A25205">
        <w:rPr>
          <w:rFonts w:ascii="Tw Cen MT" w:hAnsi="Tw Cen MT"/>
        </w:rPr>
        <w:t>undertaken</w:t>
      </w:r>
      <w:r>
        <w:rPr>
          <w:rFonts w:ascii="Tw Cen MT" w:hAnsi="Tw Cen MT"/>
        </w:rPr>
        <w:t xml:space="preserve"> with the MACE strategic group to strengthen local arrangements to tackle child </w:t>
      </w:r>
      <w:r w:rsidRPr="00565989">
        <w:rPr>
          <w:rFonts w:ascii="Tw Cen MT" w:hAnsi="Tw Cen MT"/>
        </w:rPr>
        <w:t xml:space="preserve">exploitation. Anna explained the focus has been on ‘building bridges’ between partner agencies, </w:t>
      </w:r>
      <w:r w:rsidRPr="00A25205">
        <w:rPr>
          <w:rFonts w:ascii="Tw Cen MT" w:hAnsi="Tw Cen MT"/>
        </w:rPr>
        <w:t>encouraging partners to build on their strengths in working with families, and considering how agencies can reflect on local practice to ensure they act with purpose. An outcome of the work has been to unlock local intelligence data to support the disruption of child exploitation – this includes agreeing common aims, widening MACE membership to include Criminal Justice representation, and developing a partnership intelligence policy. Board members considered this work in a breakout session, where members were asked: “</w:t>
      </w:r>
      <w:r w:rsidR="00565989" w:rsidRPr="00A25205">
        <w:rPr>
          <w:rFonts w:ascii="Tw Cen MT" w:hAnsi="Tw Cen MT"/>
          <w:i/>
          <w:iCs/>
        </w:rPr>
        <w:t>what is the role of the P</w:t>
      </w:r>
      <w:r w:rsidRPr="00A25205">
        <w:rPr>
          <w:rFonts w:ascii="Tw Cen MT" w:hAnsi="Tw Cen MT"/>
          <w:i/>
          <w:iCs/>
        </w:rPr>
        <w:t>artnershi</w:t>
      </w:r>
      <w:r w:rsidR="00565989" w:rsidRPr="00A25205">
        <w:rPr>
          <w:rFonts w:ascii="Tw Cen MT" w:hAnsi="Tw Cen MT"/>
          <w:i/>
          <w:iCs/>
        </w:rPr>
        <w:t xml:space="preserve">p in </w:t>
      </w:r>
      <w:r w:rsidRPr="00A25205">
        <w:rPr>
          <w:rFonts w:ascii="Tw Cen MT" w:hAnsi="Tw Cen MT"/>
          <w:i/>
          <w:iCs/>
        </w:rPr>
        <w:t>navigat</w:t>
      </w:r>
      <w:r w:rsidR="00565989" w:rsidRPr="00A25205">
        <w:rPr>
          <w:rFonts w:ascii="Tw Cen MT" w:hAnsi="Tw Cen MT"/>
          <w:i/>
          <w:iCs/>
        </w:rPr>
        <w:t>ing</w:t>
      </w:r>
      <w:r w:rsidRPr="00A25205">
        <w:rPr>
          <w:rFonts w:ascii="Tw Cen MT" w:hAnsi="Tw Cen MT"/>
          <w:i/>
          <w:iCs/>
        </w:rPr>
        <w:t xml:space="preserve"> a pan-Sussex strategic response to a localised operational problem</w:t>
      </w:r>
      <w:r w:rsidR="00565989" w:rsidRPr="00A25205">
        <w:rPr>
          <w:rFonts w:ascii="Tw Cen MT" w:hAnsi="Tw Cen MT"/>
          <w:i/>
          <w:iCs/>
        </w:rPr>
        <w:t>”.</w:t>
      </w:r>
      <w:r w:rsidR="00565989" w:rsidRPr="00A25205">
        <w:rPr>
          <w:rFonts w:ascii="Tw Cen MT" w:hAnsi="Tw Cen MT"/>
          <w:b/>
          <w:bCs/>
          <w:i/>
          <w:iCs/>
        </w:rPr>
        <w:t xml:space="preserve"> </w:t>
      </w:r>
    </w:p>
    <w:p w14:paraId="5C887722" w14:textId="1EB67BC8" w:rsidR="00AC0198" w:rsidRPr="00A25205" w:rsidRDefault="00AC0198" w:rsidP="002F12EF">
      <w:pPr>
        <w:jc w:val="both"/>
        <w:rPr>
          <w:rFonts w:ascii="Tw Cen MT" w:hAnsi="Tw Cen MT"/>
        </w:rPr>
      </w:pPr>
    </w:p>
    <w:p w14:paraId="59B7725C" w14:textId="3C2D83EF" w:rsidR="00F85E3A" w:rsidRPr="00A25205" w:rsidRDefault="00F85E3A" w:rsidP="002F12EF">
      <w:pPr>
        <w:jc w:val="both"/>
        <w:rPr>
          <w:rFonts w:ascii="Tw Cen MT" w:hAnsi="Tw Cen MT"/>
          <w:b/>
          <w:bCs/>
        </w:rPr>
      </w:pPr>
      <w:r w:rsidRPr="00A25205">
        <w:rPr>
          <w:rFonts w:ascii="Tw Cen MT" w:hAnsi="Tw Cen MT"/>
          <w:b/>
          <w:bCs/>
        </w:rPr>
        <w:t xml:space="preserve">Other business </w:t>
      </w:r>
    </w:p>
    <w:p w14:paraId="392B2F28" w14:textId="399304B8" w:rsidR="00F85E3A" w:rsidRPr="00A25205" w:rsidRDefault="00F85E3A" w:rsidP="002F12EF">
      <w:pPr>
        <w:pStyle w:val="ListParagraph"/>
        <w:numPr>
          <w:ilvl w:val="0"/>
          <w:numId w:val="3"/>
        </w:numPr>
        <w:jc w:val="both"/>
        <w:rPr>
          <w:rFonts w:ascii="Tw Cen MT" w:hAnsi="Tw Cen MT"/>
          <w:sz w:val="22"/>
        </w:rPr>
      </w:pPr>
      <w:r w:rsidRPr="00A25205">
        <w:rPr>
          <w:rFonts w:ascii="Tw Cen MT" w:hAnsi="Tw Cen MT"/>
          <w:sz w:val="22"/>
        </w:rPr>
        <w:t xml:space="preserve">Board members were reminded </w:t>
      </w:r>
      <w:r w:rsidR="00A25205" w:rsidRPr="00A25205">
        <w:rPr>
          <w:rFonts w:ascii="Tw Cen MT" w:hAnsi="Tw Cen MT"/>
          <w:sz w:val="22"/>
        </w:rPr>
        <w:t xml:space="preserve">that NHS England are leading the </w:t>
      </w:r>
      <w:r w:rsidR="00A25205">
        <w:rPr>
          <w:rFonts w:ascii="Tw Cen MT" w:hAnsi="Tw Cen MT"/>
          <w:sz w:val="22"/>
        </w:rPr>
        <w:t>re-</w:t>
      </w:r>
      <w:r w:rsidR="00A25205" w:rsidRPr="00A25205">
        <w:rPr>
          <w:rFonts w:ascii="Tw Cen MT" w:hAnsi="Tw Cen MT"/>
          <w:sz w:val="22"/>
        </w:rPr>
        <w:t>commissioning</w:t>
      </w:r>
      <w:r w:rsidRPr="00A25205">
        <w:rPr>
          <w:rFonts w:ascii="Tw Cen MT" w:hAnsi="Tw Cen MT"/>
          <w:sz w:val="22"/>
        </w:rPr>
        <w:t xml:space="preserve"> of the sexual abuse referral centre </w:t>
      </w:r>
      <w:r w:rsidR="00A25205" w:rsidRPr="00A25205">
        <w:rPr>
          <w:rFonts w:ascii="Tw Cen MT" w:hAnsi="Tw Cen MT"/>
          <w:sz w:val="22"/>
        </w:rPr>
        <w:t>services in Sussex - t</w:t>
      </w:r>
      <w:r w:rsidRPr="00A25205">
        <w:rPr>
          <w:rFonts w:ascii="Tw Cen MT" w:hAnsi="Tw Cen MT"/>
          <w:sz w:val="22"/>
        </w:rPr>
        <w:t xml:space="preserve">he Partnership will be formally consulted as part of the tendering process. </w:t>
      </w:r>
    </w:p>
    <w:p w14:paraId="50362A1D" w14:textId="77E5C5D7" w:rsidR="00F85E3A" w:rsidRPr="00A25205" w:rsidRDefault="00F85E3A" w:rsidP="002F12EF">
      <w:pPr>
        <w:pStyle w:val="ListParagraph"/>
        <w:numPr>
          <w:ilvl w:val="0"/>
          <w:numId w:val="3"/>
        </w:numPr>
        <w:jc w:val="both"/>
        <w:rPr>
          <w:rFonts w:ascii="Tw Cen MT" w:hAnsi="Tw Cen MT"/>
          <w:sz w:val="22"/>
        </w:rPr>
      </w:pPr>
      <w:r w:rsidRPr="00A25205">
        <w:rPr>
          <w:rFonts w:ascii="Tw Cen MT" w:hAnsi="Tw Cen MT"/>
          <w:sz w:val="22"/>
        </w:rPr>
        <w:t xml:space="preserve">The Board were informed that the ESSCP </w:t>
      </w:r>
      <w:r w:rsidR="00A25205" w:rsidRPr="00A25205">
        <w:rPr>
          <w:rFonts w:ascii="Tw Cen MT" w:hAnsi="Tw Cen MT"/>
          <w:sz w:val="22"/>
        </w:rPr>
        <w:t xml:space="preserve">has been working with Safer Adults Board, and other local partnerships, to develop a Partnership Protocol, setting out how the partnerships will work together on areas of joint interest and share learning. </w:t>
      </w:r>
    </w:p>
    <w:p w14:paraId="44E3BBD2" w14:textId="563108A6" w:rsidR="00A25205" w:rsidRPr="00A25205" w:rsidRDefault="00A25205" w:rsidP="002F12EF">
      <w:pPr>
        <w:pStyle w:val="ListParagraph"/>
        <w:numPr>
          <w:ilvl w:val="0"/>
          <w:numId w:val="3"/>
        </w:numPr>
        <w:jc w:val="both"/>
        <w:rPr>
          <w:rFonts w:ascii="Tw Cen MT" w:hAnsi="Tw Cen MT"/>
          <w:sz w:val="22"/>
        </w:rPr>
      </w:pPr>
      <w:r w:rsidRPr="00A25205">
        <w:rPr>
          <w:rFonts w:ascii="Tw Cen MT" w:hAnsi="Tw Cen MT"/>
          <w:sz w:val="22"/>
        </w:rPr>
        <w:t xml:space="preserve">The Chair thanked Stuart Gallimore for his service to children and families locally during his time as Director of Children’s Services. Board members echoed the Chair’s thanks and wished Stuart well in the future. </w:t>
      </w:r>
    </w:p>
    <w:bookmarkEnd w:id="0"/>
    <w:p w14:paraId="2518EB2D" w14:textId="77777777" w:rsidR="00F85E3A" w:rsidRPr="00F85E3A" w:rsidRDefault="00F85E3A" w:rsidP="002F12EF">
      <w:pPr>
        <w:jc w:val="both"/>
      </w:pPr>
    </w:p>
    <w:sectPr w:rsidR="00F85E3A" w:rsidRPr="00F85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C2E80"/>
    <w:multiLevelType w:val="hybridMultilevel"/>
    <w:tmpl w:val="4B009752"/>
    <w:lvl w:ilvl="0" w:tplc="EE4210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C1BA9"/>
    <w:multiLevelType w:val="hybridMultilevel"/>
    <w:tmpl w:val="AE5EFCAC"/>
    <w:lvl w:ilvl="0" w:tplc="07386BD6">
      <w:start w:val="1"/>
      <w:numFmt w:val="bullet"/>
      <w:lvlText w:val="•"/>
      <w:lvlJc w:val="left"/>
      <w:pPr>
        <w:tabs>
          <w:tab w:val="num" w:pos="720"/>
        </w:tabs>
        <w:ind w:left="720" w:hanging="360"/>
      </w:pPr>
      <w:rPr>
        <w:rFonts w:ascii="Arial" w:hAnsi="Arial" w:hint="default"/>
      </w:rPr>
    </w:lvl>
    <w:lvl w:ilvl="1" w:tplc="4CF6D8B4" w:tentative="1">
      <w:start w:val="1"/>
      <w:numFmt w:val="bullet"/>
      <w:lvlText w:val="•"/>
      <w:lvlJc w:val="left"/>
      <w:pPr>
        <w:tabs>
          <w:tab w:val="num" w:pos="1440"/>
        </w:tabs>
        <w:ind w:left="1440" w:hanging="360"/>
      </w:pPr>
      <w:rPr>
        <w:rFonts w:ascii="Arial" w:hAnsi="Arial" w:hint="default"/>
      </w:rPr>
    </w:lvl>
    <w:lvl w:ilvl="2" w:tplc="01F2FF44" w:tentative="1">
      <w:start w:val="1"/>
      <w:numFmt w:val="bullet"/>
      <w:lvlText w:val="•"/>
      <w:lvlJc w:val="left"/>
      <w:pPr>
        <w:tabs>
          <w:tab w:val="num" w:pos="2160"/>
        </w:tabs>
        <w:ind w:left="2160" w:hanging="360"/>
      </w:pPr>
      <w:rPr>
        <w:rFonts w:ascii="Arial" w:hAnsi="Arial" w:hint="default"/>
      </w:rPr>
    </w:lvl>
    <w:lvl w:ilvl="3" w:tplc="7D885B28" w:tentative="1">
      <w:start w:val="1"/>
      <w:numFmt w:val="bullet"/>
      <w:lvlText w:val="•"/>
      <w:lvlJc w:val="left"/>
      <w:pPr>
        <w:tabs>
          <w:tab w:val="num" w:pos="2880"/>
        </w:tabs>
        <w:ind w:left="2880" w:hanging="360"/>
      </w:pPr>
      <w:rPr>
        <w:rFonts w:ascii="Arial" w:hAnsi="Arial" w:hint="default"/>
      </w:rPr>
    </w:lvl>
    <w:lvl w:ilvl="4" w:tplc="6FC093A4" w:tentative="1">
      <w:start w:val="1"/>
      <w:numFmt w:val="bullet"/>
      <w:lvlText w:val="•"/>
      <w:lvlJc w:val="left"/>
      <w:pPr>
        <w:tabs>
          <w:tab w:val="num" w:pos="3600"/>
        </w:tabs>
        <w:ind w:left="3600" w:hanging="360"/>
      </w:pPr>
      <w:rPr>
        <w:rFonts w:ascii="Arial" w:hAnsi="Arial" w:hint="default"/>
      </w:rPr>
    </w:lvl>
    <w:lvl w:ilvl="5" w:tplc="7CFEB2D4" w:tentative="1">
      <w:start w:val="1"/>
      <w:numFmt w:val="bullet"/>
      <w:lvlText w:val="•"/>
      <w:lvlJc w:val="left"/>
      <w:pPr>
        <w:tabs>
          <w:tab w:val="num" w:pos="4320"/>
        </w:tabs>
        <w:ind w:left="4320" w:hanging="360"/>
      </w:pPr>
      <w:rPr>
        <w:rFonts w:ascii="Arial" w:hAnsi="Arial" w:hint="default"/>
      </w:rPr>
    </w:lvl>
    <w:lvl w:ilvl="6" w:tplc="08866B6E" w:tentative="1">
      <w:start w:val="1"/>
      <w:numFmt w:val="bullet"/>
      <w:lvlText w:val="•"/>
      <w:lvlJc w:val="left"/>
      <w:pPr>
        <w:tabs>
          <w:tab w:val="num" w:pos="5040"/>
        </w:tabs>
        <w:ind w:left="5040" w:hanging="360"/>
      </w:pPr>
      <w:rPr>
        <w:rFonts w:ascii="Arial" w:hAnsi="Arial" w:hint="default"/>
      </w:rPr>
    </w:lvl>
    <w:lvl w:ilvl="7" w:tplc="D6087CDE" w:tentative="1">
      <w:start w:val="1"/>
      <w:numFmt w:val="bullet"/>
      <w:lvlText w:val="•"/>
      <w:lvlJc w:val="left"/>
      <w:pPr>
        <w:tabs>
          <w:tab w:val="num" w:pos="5760"/>
        </w:tabs>
        <w:ind w:left="5760" w:hanging="360"/>
      </w:pPr>
      <w:rPr>
        <w:rFonts w:ascii="Arial" w:hAnsi="Arial" w:hint="default"/>
      </w:rPr>
    </w:lvl>
    <w:lvl w:ilvl="8" w:tplc="F77E3D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023076"/>
    <w:multiLevelType w:val="hybridMultilevel"/>
    <w:tmpl w:val="957A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3D"/>
    <w:rsid w:val="000B17E5"/>
    <w:rsid w:val="001C239F"/>
    <w:rsid w:val="002F12EF"/>
    <w:rsid w:val="00321BBE"/>
    <w:rsid w:val="003372E4"/>
    <w:rsid w:val="0054743D"/>
    <w:rsid w:val="00565989"/>
    <w:rsid w:val="005A4757"/>
    <w:rsid w:val="006863FD"/>
    <w:rsid w:val="007878F7"/>
    <w:rsid w:val="007E5AFF"/>
    <w:rsid w:val="00A25205"/>
    <w:rsid w:val="00A476B5"/>
    <w:rsid w:val="00AC0198"/>
    <w:rsid w:val="00B3387D"/>
    <w:rsid w:val="00C72BAD"/>
    <w:rsid w:val="00DC4E25"/>
    <w:rsid w:val="00F25C97"/>
    <w:rsid w:val="00F8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4C00"/>
  <w15:chartTrackingRefBased/>
  <w15:docId w15:val="{F11666F3-C003-4A62-9DA9-8DB25025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43D"/>
    <w:rPr>
      <w:color w:val="0000FF"/>
      <w:u w:val="single"/>
    </w:rPr>
  </w:style>
  <w:style w:type="paragraph" w:styleId="ListParagraph">
    <w:name w:val="List Paragraph"/>
    <w:basedOn w:val="Normal"/>
    <w:uiPriority w:val="34"/>
    <w:qFormat/>
    <w:rsid w:val="00AC0198"/>
    <w:pPr>
      <w:spacing w:after="0" w:line="240" w:lineRule="auto"/>
      <w:ind w:left="720"/>
      <w:contextualSpacing/>
    </w:pPr>
    <w:rPr>
      <w:rFonts w:ascii="Arial" w:eastAsia="Times New Roman" w:hAnsi="Arial" w:cs="Arial"/>
      <w:sz w:val="24"/>
      <w:lang w:eastAsia="en-GB"/>
    </w:rPr>
  </w:style>
  <w:style w:type="paragraph" w:styleId="BalloonText">
    <w:name w:val="Balloon Text"/>
    <w:basedOn w:val="Normal"/>
    <w:link w:val="BalloonTextChar"/>
    <w:uiPriority w:val="99"/>
    <w:semiHidden/>
    <w:unhideWhenUsed/>
    <w:rsid w:val="00F25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97"/>
    <w:rPr>
      <w:rFonts w:ascii="Segoe UI" w:hAnsi="Segoe UI" w:cs="Segoe UI"/>
      <w:sz w:val="18"/>
      <w:szCs w:val="18"/>
    </w:rPr>
  </w:style>
  <w:style w:type="paragraph" w:customStyle="1" w:styleId="Default">
    <w:name w:val="Default"/>
    <w:rsid w:val="007E5A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218">
      <w:bodyDiv w:val="1"/>
      <w:marLeft w:val="0"/>
      <w:marRight w:val="0"/>
      <w:marTop w:val="0"/>
      <w:marBottom w:val="0"/>
      <w:divBdr>
        <w:top w:val="none" w:sz="0" w:space="0" w:color="auto"/>
        <w:left w:val="none" w:sz="0" w:space="0" w:color="auto"/>
        <w:bottom w:val="none" w:sz="0" w:space="0" w:color="auto"/>
        <w:right w:val="none" w:sz="0" w:space="0" w:color="auto"/>
      </w:divBdr>
      <w:divsChild>
        <w:div w:id="1371416365">
          <w:marLeft w:val="360"/>
          <w:marRight w:val="0"/>
          <w:marTop w:val="200"/>
          <w:marBottom w:val="0"/>
          <w:divBdr>
            <w:top w:val="none" w:sz="0" w:space="0" w:color="auto"/>
            <w:left w:val="none" w:sz="0" w:space="0" w:color="auto"/>
            <w:bottom w:val="none" w:sz="0" w:space="0" w:color="auto"/>
            <w:right w:val="none" w:sz="0" w:space="0" w:color="auto"/>
          </w:divBdr>
        </w:div>
      </w:divsChild>
    </w:div>
    <w:div w:id="939679703">
      <w:bodyDiv w:val="1"/>
      <w:marLeft w:val="0"/>
      <w:marRight w:val="0"/>
      <w:marTop w:val="0"/>
      <w:marBottom w:val="0"/>
      <w:divBdr>
        <w:top w:val="none" w:sz="0" w:space="0" w:color="auto"/>
        <w:left w:val="none" w:sz="0" w:space="0" w:color="auto"/>
        <w:bottom w:val="none" w:sz="0" w:space="0" w:color="auto"/>
        <w:right w:val="none" w:sz="0" w:space="0" w:color="auto"/>
      </w:divBdr>
    </w:div>
    <w:div w:id="1377006761">
      <w:bodyDiv w:val="1"/>
      <w:marLeft w:val="0"/>
      <w:marRight w:val="0"/>
      <w:marTop w:val="0"/>
      <w:marBottom w:val="0"/>
      <w:divBdr>
        <w:top w:val="none" w:sz="0" w:space="0" w:color="auto"/>
        <w:left w:val="none" w:sz="0" w:space="0" w:color="auto"/>
        <w:bottom w:val="none" w:sz="0" w:space="0" w:color="auto"/>
        <w:right w:val="none" w:sz="0" w:space="0" w:color="auto"/>
      </w:divBdr>
    </w:div>
    <w:div w:id="20539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SCP.Contact@eastsusse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3</cp:revision>
  <dcterms:created xsi:type="dcterms:W3CDTF">2021-07-15T13:12:00Z</dcterms:created>
  <dcterms:modified xsi:type="dcterms:W3CDTF">2021-07-22T13:41:00Z</dcterms:modified>
</cp:coreProperties>
</file>