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71373" w14:textId="77777777" w:rsidR="0054743D" w:rsidRPr="007E5AFF" w:rsidRDefault="0054743D" w:rsidP="002F12EF">
      <w:pPr>
        <w:spacing w:after="0"/>
        <w:jc w:val="both"/>
        <w:rPr>
          <w:rFonts w:ascii="Tw Cen MT" w:hAnsi="Tw Cen MT"/>
        </w:rPr>
      </w:pPr>
      <w:bookmarkStart w:id="0" w:name="_Hlk77857029"/>
      <w:bookmarkStart w:id="1" w:name="_Hlk90988175"/>
      <w:r w:rsidRPr="007E5AFF">
        <w:rPr>
          <w:rFonts w:ascii="Tw Cen MT" w:hAnsi="Tw Cen MT"/>
        </w:rPr>
        <w:t>Welcome to the East Sussex Safeguarding Children Partnership (ESSCP) Board Briefing. The briefing is intended to provide you with the key headlines from each Board meeting so that you can quickly catch up with decisions and learning and disseminate them to your staff.  Minutes of the meeting will continue to be circulated to Board members.</w:t>
      </w:r>
    </w:p>
    <w:p w14:paraId="0E3208D5" w14:textId="77777777" w:rsidR="0054743D" w:rsidRPr="007E5AFF" w:rsidRDefault="0054743D" w:rsidP="002F12EF">
      <w:pPr>
        <w:spacing w:after="0"/>
        <w:jc w:val="both"/>
        <w:rPr>
          <w:rFonts w:ascii="Tw Cen MT" w:hAnsi="Tw Cen MT"/>
        </w:rPr>
      </w:pPr>
    </w:p>
    <w:p w14:paraId="308995FE" w14:textId="55DFB21E" w:rsidR="0054743D" w:rsidRPr="007E5AFF" w:rsidRDefault="0054743D" w:rsidP="002F12EF">
      <w:pPr>
        <w:spacing w:after="0"/>
        <w:jc w:val="both"/>
        <w:rPr>
          <w:rFonts w:ascii="Tw Cen MT" w:hAnsi="Tw Cen MT"/>
        </w:rPr>
      </w:pPr>
      <w:r w:rsidRPr="007E5AFF">
        <w:rPr>
          <w:rFonts w:ascii="Tw Cen MT" w:hAnsi="Tw Cen MT"/>
        </w:rPr>
        <w:t xml:space="preserve">This briefing includes news from the </w:t>
      </w:r>
      <w:r w:rsidRPr="007C31E9">
        <w:rPr>
          <w:rFonts w:ascii="Tw Cen MT" w:hAnsi="Tw Cen MT"/>
          <w:b/>
          <w:bCs/>
        </w:rPr>
        <w:t>1</w:t>
      </w:r>
      <w:r w:rsidR="00CF41E5" w:rsidRPr="007C31E9">
        <w:rPr>
          <w:rFonts w:ascii="Tw Cen MT" w:hAnsi="Tw Cen MT"/>
          <w:b/>
          <w:bCs/>
        </w:rPr>
        <w:t>1 November</w:t>
      </w:r>
      <w:r w:rsidR="00A476B5" w:rsidRPr="007C31E9">
        <w:rPr>
          <w:rFonts w:ascii="Tw Cen MT" w:hAnsi="Tw Cen MT"/>
          <w:b/>
          <w:bCs/>
        </w:rPr>
        <w:t xml:space="preserve"> </w:t>
      </w:r>
      <w:r w:rsidRPr="007C31E9">
        <w:rPr>
          <w:rFonts w:ascii="Tw Cen MT" w:hAnsi="Tw Cen MT"/>
          <w:b/>
          <w:bCs/>
        </w:rPr>
        <w:t>2021</w:t>
      </w:r>
      <w:r w:rsidRPr="007E5AFF">
        <w:rPr>
          <w:rFonts w:ascii="Tw Cen MT" w:hAnsi="Tw Cen MT"/>
        </w:rPr>
        <w:t xml:space="preserve"> virtual Board meeting. If you have any comments on the briefing, or questions about the contents, please contact us on </w:t>
      </w:r>
      <w:hyperlink r:id="rId5" w:history="1">
        <w:r w:rsidRPr="007E5AFF">
          <w:rPr>
            <w:rStyle w:val="Hyperlink"/>
            <w:rFonts w:ascii="Tw Cen MT" w:hAnsi="Tw Cen MT"/>
          </w:rPr>
          <w:t>ESSCP.Contact@eastsussex.gov.uk</w:t>
        </w:r>
      </w:hyperlink>
      <w:r w:rsidRPr="007E5AFF">
        <w:rPr>
          <w:rFonts w:ascii="Tw Cen MT" w:hAnsi="Tw Cen MT"/>
        </w:rPr>
        <w:t>.</w:t>
      </w:r>
    </w:p>
    <w:p w14:paraId="294BF71C" w14:textId="77777777" w:rsidR="0054743D" w:rsidRPr="007E5AFF" w:rsidRDefault="0054743D" w:rsidP="002F12EF">
      <w:pPr>
        <w:spacing w:after="0"/>
        <w:jc w:val="both"/>
        <w:rPr>
          <w:rFonts w:ascii="Tw Cen MT" w:hAnsi="Tw Cen MT" w:cs="Arial"/>
          <w:b/>
        </w:rPr>
      </w:pPr>
    </w:p>
    <w:p w14:paraId="2EF79396" w14:textId="2CBE2E25" w:rsidR="0054743D" w:rsidRPr="007E5AFF" w:rsidRDefault="00CF41E5" w:rsidP="002F12EF">
      <w:pPr>
        <w:jc w:val="both"/>
        <w:rPr>
          <w:rFonts w:ascii="Tw Cen MT" w:hAnsi="Tw Cen MT"/>
        </w:rPr>
      </w:pPr>
      <w:r>
        <w:rPr>
          <w:rFonts w:ascii="Tw Cen MT" w:hAnsi="Tw Cen MT" w:cs="Arial"/>
          <w:b/>
        </w:rPr>
        <w:t>Child Y Local Safeguarding Practice Review</w:t>
      </w:r>
    </w:p>
    <w:p w14:paraId="44F3041D" w14:textId="1A6F31F9" w:rsidR="005D2DA5" w:rsidRDefault="00A476B5" w:rsidP="00CF41E5">
      <w:pPr>
        <w:jc w:val="both"/>
        <w:rPr>
          <w:rFonts w:ascii="Tw Cen MT" w:hAnsi="Tw Cen MT"/>
        </w:rPr>
      </w:pPr>
      <w:r w:rsidRPr="007E5AFF">
        <w:rPr>
          <w:rFonts w:ascii="Tw Cen MT" w:hAnsi="Tw Cen MT"/>
        </w:rPr>
        <w:t xml:space="preserve">Board members </w:t>
      </w:r>
      <w:r w:rsidR="005D2DA5">
        <w:rPr>
          <w:rFonts w:ascii="Tw Cen MT" w:hAnsi="Tw Cen MT"/>
        </w:rPr>
        <w:t xml:space="preserve">discussed the learning from the </w:t>
      </w:r>
      <w:r w:rsidR="007C31E9">
        <w:rPr>
          <w:rFonts w:ascii="Tw Cen MT" w:hAnsi="Tw Cen MT"/>
        </w:rPr>
        <w:t xml:space="preserve">draft </w:t>
      </w:r>
      <w:r w:rsidR="005D2DA5">
        <w:rPr>
          <w:rFonts w:ascii="Tw Cen MT" w:hAnsi="Tw Cen MT"/>
        </w:rPr>
        <w:t>Child Y Local Safeguarding Practice Review</w:t>
      </w:r>
      <w:r w:rsidR="001C5BA4">
        <w:rPr>
          <w:rFonts w:ascii="Tw Cen MT" w:hAnsi="Tw Cen MT"/>
        </w:rPr>
        <w:t xml:space="preserve">: </w:t>
      </w:r>
      <w:r w:rsidR="005D2DA5">
        <w:rPr>
          <w:rFonts w:ascii="Tw Cen MT" w:hAnsi="Tw Cen MT"/>
        </w:rPr>
        <w:t xml:space="preserve">this was the case of a </w:t>
      </w:r>
      <w:r w:rsidR="003C08D2">
        <w:rPr>
          <w:rFonts w:ascii="Tw Cen MT" w:hAnsi="Tw Cen MT"/>
        </w:rPr>
        <w:t>seven-year-old</w:t>
      </w:r>
      <w:r w:rsidR="005D2DA5">
        <w:rPr>
          <w:rFonts w:ascii="Tw Cen MT" w:hAnsi="Tw Cen MT"/>
        </w:rPr>
        <w:t xml:space="preserve"> child who attempted to take their own life at the family home. Sixteen months earlier they had made allegations that </w:t>
      </w:r>
      <w:r w:rsidR="001C5BA4">
        <w:rPr>
          <w:rFonts w:ascii="Tw Cen MT" w:hAnsi="Tw Cen MT"/>
        </w:rPr>
        <w:t xml:space="preserve">a family member </w:t>
      </w:r>
      <w:r w:rsidR="005D2DA5">
        <w:rPr>
          <w:rFonts w:ascii="Tw Cen MT" w:hAnsi="Tw Cen MT"/>
        </w:rPr>
        <w:t>had sexually abused them. Board members noted key learning arising, including:</w:t>
      </w:r>
    </w:p>
    <w:p w14:paraId="4C1B553C" w14:textId="2FD65B6F" w:rsidR="005D2DA5" w:rsidRPr="005D2DA5" w:rsidRDefault="005D2DA5" w:rsidP="005D2DA5">
      <w:pPr>
        <w:pStyle w:val="ListParagraph"/>
        <w:numPr>
          <w:ilvl w:val="0"/>
          <w:numId w:val="4"/>
        </w:numPr>
        <w:jc w:val="both"/>
        <w:rPr>
          <w:rFonts w:ascii="Tw Cen MT" w:hAnsi="Tw Cen MT"/>
        </w:rPr>
      </w:pPr>
      <w:r>
        <w:rPr>
          <w:rFonts w:ascii="Tw Cen MT" w:hAnsi="Tw Cen MT"/>
          <w:sz w:val="22"/>
          <w:szCs w:val="20"/>
        </w:rPr>
        <w:t xml:space="preserve">the importance of communicating with children about their world – professionals need to be reflective of the child’s priorities, rather than adhere to an adult assumption of what the child requires. </w:t>
      </w:r>
    </w:p>
    <w:p w14:paraId="74E6CAC2" w14:textId="77777777" w:rsidR="005D2DA5" w:rsidRPr="005D2DA5" w:rsidRDefault="005D2DA5" w:rsidP="005D2DA5">
      <w:pPr>
        <w:pStyle w:val="ListParagraph"/>
        <w:numPr>
          <w:ilvl w:val="0"/>
          <w:numId w:val="4"/>
        </w:numPr>
        <w:jc w:val="both"/>
        <w:rPr>
          <w:rFonts w:ascii="Tw Cen MT" w:hAnsi="Tw Cen MT"/>
        </w:rPr>
      </w:pPr>
      <w:r>
        <w:rPr>
          <w:rFonts w:ascii="Tw Cen MT" w:hAnsi="Tw Cen MT"/>
          <w:sz w:val="22"/>
          <w:szCs w:val="20"/>
        </w:rPr>
        <w:t xml:space="preserve">More judicious use of Care Planning Forums when there is a lack of clarity about what the options are in reducing risk within families. </w:t>
      </w:r>
    </w:p>
    <w:p w14:paraId="2535751A" w14:textId="77777777" w:rsidR="005D2DA5" w:rsidRPr="005D2DA5" w:rsidRDefault="005D2DA5" w:rsidP="005D2DA5">
      <w:pPr>
        <w:pStyle w:val="ListParagraph"/>
        <w:numPr>
          <w:ilvl w:val="0"/>
          <w:numId w:val="4"/>
        </w:numPr>
        <w:jc w:val="both"/>
        <w:rPr>
          <w:rFonts w:ascii="Tw Cen MT" w:hAnsi="Tw Cen MT"/>
        </w:rPr>
      </w:pPr>
      <w:r>
        <w:rPr>
          <w:rFonts w:ascii="Tw Cen MT" w:hAnsi="Tw Cen MT"/>
          <w:sz w:val="22"/>
          <w:szCs w:val="20"/>
        </w:rPr>
        <w:t>Effective planning, assessment and recording at all stages of the Achieving Best Evidence (ABE) process</w:t>
      </w:r>
    </w:p>
    <w:p w14:paraId="10EE7F22" w14:textId="36DCD43B" w:rsidR="005D2DA5" w:rsidRPr="005D2DA5" w:rsidRDefault="005D2DA5" w:rsidP="005D2DA5">
      <w:pPr>
        <w:pStyle w:val="ListParagraph"/>
        <w:numPr>
          <w:ilvl w:val="0"/>
          <w:numId w:val="4"/>
        </w:numPr>
        <w:jc w:val="both"/>
        <w:rPr>
          <w:rFonts w:ascii="Tw Cen MT" w:hAnsi="Tw Cen MT"/>
        </w:rPr>
      </w:pPr>
      <w:r>
        <w:rPr>
          <w:rFonts w:ascii="Tw Cen MT" w:hAnsi="Tw Cen MT"/>
          <w:sz w:val="22"/>
          <w:szCs w:val="20"/>
        </w:rPr>
        <w:t>The importance of emotional intelligence and empathy in strengthening trauma informed practice with clients</w:t>
      </w:r>
      <w:r w:rsidR="007C31E9">
        <w:rPr>
          <w:rFonts w:ascii="Tw Cen MT" w:hAnsi="Tw Cen MT"/>
          <w:sz w:val="22"/>
          <w:szCs w:val="20"/>
        </w:rPr>
        <w:t>,</w:t>
      </w:r>
      <w:r>
        <w:rPr>
          <w:rFonts w:ascii="Tw Cen MT" w:hAnsi="Tw Cen MT"/>
          <w:sz w:val="22"/>
          <w:szCs w:val="20"/>
        </w:rPr>
        <w:t xml:space="preserve"> to improve working relationships with families. </w:t>
      </w:r>
    </w:p>
    <w:p w14:paraId="154C3762" w14:textId="77777777" w:rsidR="005D2DA5" w:rsidRDefault="005D2DA5" w:rsidP="005D2DA5">
      <w:pPr>
        <w:jc w:val="both"/>
        <w:rPr>
          <w:rFonts w:ascii="Tw Cen MT" w:hAnsi="Tw Cen MT"/>
          <w:szCs w:val="20"/>
        </w:rPr>
      </w:pPr>
    </w:p>
    <w:p w14:paraId="5F561E88" w14:textId="4D84EF64" w:rsidR="00A476B5" w:rsidRPr="007E5AFF" w:rsidRDefault="005D2DA5" w:rsidP="002F12EF">
      <w:pPr>
        <w:jc w:val="both"/>
        <w:rPr>
          <w:rFonts w:ascii="Tw Cen MT" w:hAnsi="Tw Cen MT"/>
        </w:rPr>
      </w:pPr>
      <w:r>
        <w:rPr>
          <w:rFonts w:ascii="Tw Cen MT" w:hAnsi="Tw Cen MT"/>
          <w:szCs w:val="20"/>
        </w:rPr>
        <w:t>The Board accepted the recommendations in the report</w:t>
      </w:r>
      <w:r w:rsidR="007C31E9">
        <w:rPr>
          <w:rFonts w:ascii="Tw Cen MT" w:hAnsi="Tw Cen MT"/>
          <w:szCs w:val="20"/>
        </w:rPr>
        <w:t>,</w:t>
      </w:r>
      <w:r>
        <w:rPr>
          <w:rFonts w:ascii="Tw Cen MT" w:hAnsi="Tw Cen MT"/>
          <w:szCs w:val="20"/>
        </w:rPr>
        <w:t xml:space="preserve"> and the action plan to take forward learning from the report. The Board also supported the proposal to publish the report anonymously to ensure the future wellbeing of the child and their family. </w:t>
      </w:r>
      <w:r w:rsidR="001C5BA4">
        <w:rPr>
          <w:rFonts w:ascii="Tw Cen MT" w:hAnsi="Tw Cen MT"/>
          <w:szCs w:val="20"/>
        </w:rPr>
        <w:t>Board members noted that a learning briefing</w:t>
      </w:r>
      <w:r w:rsidR="007C31E9">
        <w:rPr>
          <w:rFonts w:ascii="Tw Cen MT" w:hAnsi="Tw Cen MT"/>
          <w:szCs w:val="20"/>
        </w:rPr>
        <w:t>, to be shared with staff,</w:t>
      </w:r>
      <w:r w:rsidR="001C5BA4">
        <w:rPr>
          <w:rFonts w:ascii="Tw Cen MT" w:hAnsi="Tw Cen MT"/>
          <w:szCs w:val="20"/>
        </w:rPr>
        <w:t xml:space="preserve"> will be published in the New Year. </w:t>
      </w:r>
    </w:p>
    <w:p w14:paraId="6F0873D4" w14:textId="77777777" w:rsidR="001C5BA4" w:rsidRDefault="001C5BA4" w:rsidP="002F12EF">
      <w:pPr>
        <w:jc w:val="both"/>
        <w:rPr>
          <w:rFonts w:ascii="Tw Cen MT" w:hAnsi="Tw Cen MT"/>
          <w:b/>
          <w:bCs/>
        </w:rPr>
      </w:pPr>
    </w:p>
    <w:p w14:paraId="3909B8E4" w14:textId="5E0488FE" w:rsidR="00A476B5" w:rsidRPr="007E5AFF" w:rsidRDefault="00CF41E5" w:rsidP="002F12EF">
      <w:pPr>
        <w:jc w:val="both"/>
        <w:rPr>
          <w:rFonts w:ascii="Tw Cen MT" w:hAnsi="Tw Cen MT"/>
          <w:b/>
          <w:bCs/>
        </w:rPr>
      </w:pPr>
      <w:r>
        <w:rPr>
          <w:rFonts w:ascii="Tw Cen MT" w:hAnsi="Tw Cen MT"/>
          <w:b/>
          <w:bCs/>
        </w:rPr>
        <w:t>Public Health</w:t>
      </w:r>
      <w:r w:rsidR="00A476B5" w:rsidRPr="007E5AFF">
        <w:rPr>
          <w:rFonts w:ascii="Tw Cen MT" w:hAnsi="Tw Cen MT"/>
          <w:b/>
          <w:bCs/>
        </w:rPr>
        <w:t xml:space="preserve"> Annual Report </w:t>
      </w:r>
      <w:r>
        <w:rPr>
          <w:rFonts w:ascii="Tw Cen MT" w:hAnsi="Tw Cen MT"/>
          <w:b/>
          <w:bCs/>
        </w:rPr>
        <w:t>– impact of COVID</w:t>
      </w:r>
    </w:p>
    <w:p w14:paraId="20FFAD0B" w14:textId="54A4D295" w:rsidR="001C5BA4" w:rsidRPr="006145AB" w:rsidRDefault="00CF41E5" w:rsidP="001C5BA4">
      <w:pPr>
        <w:jc w:val="both"/>
        <w:rPr>
          <w:rFonts w:cstheme="minorHAnsi"/>
          <w:bCs/>
          <w:szCs w:val="24"/>
        </w:rPr>
      </w:pPr>
      <w:r>
        <w:rPr>
          <w:rFonts w:ascii="Tw Cen MT" w:hAnsi="Tw Cen MT"/>
        </w:rPr>
        <w:t xml:space="preserve">Ben Brown, </w:t>
      </w:r>
      <w:r w:rsidR="001C5BA4">
        <w:rPr>
          <w:rFonts w:ascii="Tw Cen MT" w:hAnsi="Tw Cen MT"/>
        </w:rPr>
        <w:t xml:space="preserve">Consultant in Public Health, presented the Public Health Report for 2020/21, which focused on the wider impact of </w:t>
      </w:r>
      <w:r w:rsidR="001C5BA4" w:rsidRPr="007C31E9">
        <w:rPr>
          <w:rFonts w:ascii="Tw Cen MT" w:hAnsi="Tw Cen MT"/>
        </w:rPr>
        <w:t>Covid-19. The report noted that wh</w:t>
      </w:r>
      <w:r w:rsidR="001C5BA4" w:rsidRPr="007C31E9">
        <w:rPr>
          <w:rFonts w:ascii="Tw Cen MT" w:hAnsi="Tw Cen MT" w:cstheme="minorHAnsi"/>
          <w:color w:val="000000"/>
          <w:szCs w:val="24"/>
        </w:rPr>
        <w:t>ilst COVID-19 presented an immediate health crisis, many of the inequalities it has exposed require a long-term solution focussed on reducing inequalities in health</w:t>
      </w:r>
      <w:r w:rsidR="007C31E9">
        <w:rPr>
          <w:rFonts w:ascii="Tw Cen MT" w:hAnsi="Tw Cen MT" w:cstheme="minorHAnsi"/>
          <w:color w:val="000000"/>
          <w:szCs w:val="24"/>
        </w:rPr>
        <w:t>,</w:t>
      </w:r>
      <w:r w:rsidR="001C5BA4" w:rsidRPr="007C31E9">
        <w:rPr>
          <w:rFonts w:ascii="Tw Cen MT" w:hAnsi="Tw Cen MT" w:cstheme="minorHAnsi"/>
          <w:color w:val="000000"/>
          <w:szCs w:val="24"/>
        </w:rPr>
        <w:t xml:space="preserve"> which requires reducing inequalities in wealth, access to decent housing, </w:t>
      </w:r>
      <w:proofErr w:type="gramStart"/>
      <w:r w:rsidR="001C5BA4" w:rsidRPr="007C31E9">
        <w:rPr>
          <w:rFonts w:ascii="Tw Cen MT" w:hAnsi="Tw Cen MT" w:cstheme="minorHAnsi"/>
          <w:color w:val="000000"/>
          <w:szCs w:val="24"/>
        </w:rPr>
        <w:t>education</w:t>
      </w:r>
      <w:proofErr w:type="gramEnd"/>
      <w:r w:rsidR="001C5BA4" w:rsidRPr="007C31E9">
        <w:rPr>
          <w:rFonts w:ascii="Tw Cen MT" w:hAnsi="Tw Cen MT" w:cstheme="minorHAnsi"/>
          <w:color w:val="000000"/>
          <w:szCs w:val="24"/>
        </w:rPr>
        <w:t xml:space="preserve"> and jobs.</w:t>
      </w:r>
      <w:r w:rsidR="001C5BA4" w:rsidRPr="007C31E9">
        <w:rPr>
          <w:rFonts w:ascii="Tw Cen MT" w:hAnsi="Tw Cen MT" w:cstheme="minorHAnsi"/>
          <w:color w:val="000000"/>
          <w:szCs w:val="24"/>
        </w:rPr>
        <w:t xml:space="preserve"> The Board discussed that the full impact of </w:t>
      </w:r>
      <w:r w:rsidR="001C5BA4" w:rsidRPr="007C31E9">
        <w:rPr>
          <w:rFonts w:ascii="Tw Cen MT" w:hAnsi="Tw Cen MT" w:cstheme="minorHAnsi"/>
          <w:bCs/>
          <w:szCs w:val="24"/>
        </w:rPr>
        <w:t>COVID on children and young people will not be known for some time</w:t>
      </w:r>
      <w:r w:rsidR="001C5BA4" w:rsidRPr="007C31E9">
        <w:rPr>
          <w:rFonts w:ascii="Tw Cen MT" w:hAnsi="Tw Cen MT" w:cstheme="minorHAnsi"/>
          <w:bCs/>
          <w:szCs w:val="24"/>
        </w:rPr>
        <w:t>, however</w:t>
      </w:r>
      <w:r w:rsidR="003C08D2" w:rsidRPr="007C31E9">
        <w:rPr>
          <w:rFonts w:ascii="Tw Cen MT" w:hAnsi="Tw Cen MT" w:cstheme="minorHAnsi"/>
          <w:bCs/>
          <w:szCs w:val="24"/>
        </w:rPr>
        <w:t xml:space="preserve"> agreed</w:t>
      </w:r>
      <w:r w:rsidR="001C5BA4" w:rsidRPr="007C31E9">
        <w:rPr>
          <w:rFonts w:ascii="Tw Cen MT" w:hAnsi="Tw Cen MT" w:cstheme="minorHAnsi"/>
          <w:bCs/>
          <w:szCs w:val="24"/>
        </w:rPr>
        <w:t xml:space="preserve"> </w:t>
      </w:r>
      <w:r w:rsidR="003C08D2" w:rsidRPr="007C31E9">
        <w:rPr>
          <w:rFonts w:ascii="Tw Cen MT" w:hAnsi="Tw Cen MT" w:cstheme="minorHAnsi"/>
          <w:bCs/>
          <w:szCs w:val="24"/>
        </w:rPr>
        <w:t xml:space="preserve">it has had an immediate impact on mental health. The board noted additional funding allocated for mental health, however this is not substantial and will require MA working to maximise resources. </w:t>
      </w:r>
    </w:p>
    <w:p w14:paraId="24458DDC" w14:textId="77777777" w:rsidR="001C5BA4" w:rsidRPr="007E5AFF" w:rsidRDefault="001C5BA4" w:rsidP="002F12EF">
      <w:pPr>
        <w:jc w:val="both"/>
        <w:rPr>
          <w:rFonts w:ascii="Tw Cen MT" w:hAnsi="Tw Cen MT"/>
        </w:rPr>
      </w:pPr>
    </w:p>
    <w:p w14:paraId="7C7908C8" w14:textId="101FD601" w:rsidR="00AC0198" w:rsidRPr="007E5AFF" w:rsidRDefault="00CF41E5" w:rsidP="002F12EF">
      <w:pPr>
        <w:jc w:val="both"/>
        <w:rPr>
          <w:rFonts w:ascii="Tw Cen MT" w:hAnsi="Tw Cen MT"/>
          <w:b/>
          <w:bCs/>
        </w:rPr>
      </w:pPr>
      <w:r>
        <w:rPr>
          <w:rFonts w:ascii="Tw Cen MT" w:hAnsi="Tw Cen MT"/>
          <w:b/>
          <w:bCs/>
        </w:rPr>
        <w:t xml:space="preserve">Update from the </w:t>
      </w:r>
      <w:r>
        <w:rPr>
          <w:rFonts w:cstheme="minorHAnsi"/>
          <w:b/>
          <w:color w:val="44546A" w:themeColor="text2"/>
          <w:szCs w:val="24"/>
        </w:rPr>
        <w:t>A&amp;E/C</w:t>
      </w:r>
      <w:r w:rsidR="007C31E9">
        <w:rPr>
          <w:rFonts w:cstheme="minorHAnsi"/>
          <w:b/>
          <w:color w:val="44546A" w:themeColor="text2"/>
          <w:szCs w:val="24"/>
        </w:rPr>
        <w:t>AMHS</w:t>
      </w:r>
      <w:r>
        <w:rPr>
          <w:rFonts w:cstheme="minorHAnsi"/>
          <w:b/>
          <w:color w:val="44546A" w:themeColor="text2"/>
          <w:szCs w:val="24"/>
        </w:rPr>
        <w:t>/Education information sharing</w:t>
      </w:r>
      <w:r w:rsidR="007C31E9">
        <w:rPr>
          <w:rFonts w:cstheme="minorHAnsi"/>
          <w:b/>
          <w:color w:val="44546A" w:themeColor="text2"/>
          <w:szCs w:val="24"/>
        </w:rPr>
        <w:t xml:space="preserve"> </w:t>
      </w:r>
      <w:r>
        <w:rPr>
          <w:rFonts w:cstheme="minorHAnsi"/>
          <w:b/>
          <w:color w:val="44546A" w:themeColor="text2"/>
          <w:szCs w:val="24"/>
        </w:rPr>
        <w:t>Task &amp; Finish Group</w:t>
      </w:r>
    </w:p>
    <w:p w14:paraId="1231BDBA" w14:textId="4348A6D1" w:rsidR="00AC0198" w:rsidRPr="00DC4E25" w:rsidRDefault="003C08D2" w:rsidP="007C31E9">
      <w:pPr>
        <w:jc w:val="both"/>
        <w:rPr>
          <w:rFonts w:ascii="Tw Cen MT" w:hAnsi="Tw Cen MT"/>
        </w:rPr>
      </w:pPr>
      <w:r>
        <w:rPr>
          <w:rFonts w:ascii="Tw Cen MT" w:hAnsi="Tw Cen MT"/>
        </w:rPr>
        <w:t xml:space="preserve">Gail Gowland, Head of Safeguarding at East Sussex Healthcare Trust (ESHT), provided an update on </w:t>
      </w:r>
      <w:r w:rsidR="007C31E9">
        <w:rPr>
          <w:rFonts w:ascii="Tw Cen MT" w:hAnsi="Tw Cen MT"/>
        </w:rPr>
        <w:t>work</w:t>
      </w:r>
      <w:r>
        <w:rPr>
          <w:rFonts w:ascii="Tw Cen MT" w:hAnsi="Tw Cen MT"/>
        </w:rPr>
        <w:t xml:space="preserve"> to establish a pathway to share information from A&amp;E settings in East Sussex with schools, where a </w:t>
      </w:r>
      <w:r w:rsidRPr="007C31E9">
        <w:rPr>
          <w:rFonts w:ascii="Tw Cen MT" w:hAnsi="Tw Cen MT"/>
        </w:rPr>
        <w:t xml:space="preserve">child presents with mental health or self-harm concerns. The Board noted the aim of the pathway </w:t>
      </w:r>
      <w:r w:rsidRPr="007C31E9">
        <w:rPr>
          <w:rFonts w:ascii="Tw Cen MT" w:hAnsi="Tw Cen MT" w:cstheme="minorHAnsi"/>
          <w:color w:val="44546A" w:themeColor="text2"/>
          <w:szCs w:val="24"/>
        </w:rPr>
        <w:t xml:space="preserve">is to </w:t>
      </w:r>
      <w:r w:rsidRPr="007C31E9">
        <w:rPr>
          <w:rFonts w:ascii="Tw Cen MT" w:hAnsi="Tw Cen MT" w:cstheme="minorHAnsi"/>
          <w:color w:val="44546A" w:themeColor="text2"/>
          <w:szCs w:val="24"/>
        </w:rPr>
        <w:t xml:space="preserve">support children’s wellbeing, </w:t>
      </w:r>
      <w:proofErr w:type="gramStart"/>
      <w:r w:rsidRPr="007C31E9">
        <w:rPr>
          <w:rFonts w:ascii="Tw Cen MT" w:hAnsi="Tw Cen MT" w:cstheme="minorHAnsi"/>
          <w:color w:val="44546A" w:themeColor="text2"/>
          <w:szCs w:val="24"/>
        </w:rPr>
        <w:t>welfare</w:t>
      </w:r>
      <w:proofErr w:type="gramEnd"/>
      <w:r w:rsidRPr="007C31E9">
        <w:rPr>
          <w:rFonts w:ascii="Tw Cen MT" w:hAnsi="Tw Cen MT" w:cstheme="minorHAnsi"/>
          <w:color w:val="44546A" w:themeColor="text2"/>
          <w:szCs w:val="24"/>
        </w:rPr>
        <w:t xml:space="preserve"> and access to education. By sharing a child’s mental health assessment with the school, relevant support or liaison with other services can be implemented in a timely way and in some </w:t>
      </w:r>
      <w:proofErr w:type="gramStart"/>
      <w:r w:rsidRPr="007C31E9">
        <w:rPr>
          <w:rFonts w:ascii="Tw Cen MT" w:hAnsi="Tw Cen MT" w:cstheme="minorHAnsi"/>
          <w:color w:val="44546A" w:themeColor="text2"/>
          <w:szCs w:val="24"/>
        </w:rPr>
        <w:t>cases</w:t>
      </w:r>
      <w:proofErr w:type="gramEnd"/>
      <w:r w:rsidRPr="007C31E9">
        <w:rPr>
          <w:rFonts w:ascii="Tw Cen MT" w:hAnsi="Tw Cen MT" w:cstheme="minorHAnsi"/>
          <w:color w:val="44546A" w:themeColor="text2"/>
          <w:szCs w:val="24"/>
        </w:rPr>
        <w:t xml:space="preserve"> help safeguard the child.</w:t>
      </w:r>
      <w:r w:rsidRPr="007C31E9">
        <w:rPr>
          <w:rFonts w:ascii="Tw Cen MT" w:hAnsi="Tw Cen MT" w:cstheme="minorHAnsi"/>
          <w:color w:val="44546A" w:themeColor="text2"/>
          <w:szCs w:val="24"/>
        </w:rPr>
        <w:t xml:space="preserve"> The Board noted sharing of information is consent based. The Chair commended the work of the group and the positive outcomes for children achieved. </w:t>
      </w:r>
    </w:p>
    <w:p w14:paraId="304D5B74" w14:textId="5648C937" w:rsidR="00AC0198" w:rsidRPr="00DC4E25" w:rsidRDefault="00AC0198" w:rsidP="002F12EF">
      <w:pPr>
        <w:jc w:val="both"/>
        <w:rPr>
          <w:rFonts w:ascii="Tw Cen MT" w:hAnsi="Tw Cen MT"/>
        </w:rPr>
      </w:pPr>
    </w:p>
    <w:p w14:paraId="5AB433AB" w14:textId="52494B15" w:rsidR="000B17E5" w:rsidRPr="00DC4E25" w:rsidRDefault="00CF41E5" w:rsidP="002F12EF">
      <w:pPr>
        <w:spacing w:before="120" w:after="120"/>
        <w:jc w:val="both"/>
        <w:rPr>
          <w:rFonts w:ascii="Tw Cen MT" w:hAnsi="Tw Cen MT" w:cs="Arial"/>
          <w:b/>
        </w:rPr>
      </w:pPr>
      <w:r>
        <w:rPr>
          <w:rFonts w:ascii="Tw Cen MT" w:hAnsi="Tw Cen MT" w:cs="Arial"/>
          <w:b/>
        </w:rPr>
        <w:t xml:space="preserve">Update from the Public Law Working Group </w:t>
      </w:r>
    </w:p>
    <w:p w14:paraId="54AC5B11" w14:textId="70958A8C" w:rsidR="00DC4E25" w:rsidRDefault="007C2097" w:rsidP="002F12EF">
      <w:pPr>
        <w:jc w:val="both"/>
        <w:rPr>
          <w:rFonts w:ascii="Tw Cen MT" w:hAnsi="Tw Cen MT"/>
        </w:rPr>
      </w:pPr>
      <w:r>
        <w:rPr>
          <w:rFonts w:ascii="Tw Cen MT" w:hAnsi="Tw Cen MT"/>
        </w:rPr>
        <w:t xml:space="preserve">Andrea Holtham, Co-Chair of the Sussex Family Justice Board and Service Manager in CAFCASS, outlined the key challenges arising from the increasing number of children and families subject to public and private law proceedings. The Board </w:t>
      </w:r>
      <w:r w:rsidR="007C31E9">
        <w:rPr>
          <w:rFonts w:ascii="Tw Cen MT" w:hAnsi="Tw Cen MT"/>
        </w:rPr>
        <w:t>noted, the</w:t>
      </w:r>
      <w:r>
        <w:rPr>
          <w:rFonts w:ascii="Tw Cen MT" w:hAnsi="Tw Cen MT"/>
        </w:rPr>
        <w:t xml:space="preserve"> impact of these challenges on children and families due to the delays in the system – including the lack of permanence and stability, where adoption panels are delayed or missed, and children exposed ongoing conflict. The Chair invited board members to identify where the Partnership can escalate or support resolution of issues. </w:t>
      </w:r>
    </w:p>
    <w:p w14:paraId="45632DC4" w14:textId="77777777" w:rsidR="007C2097" w:rsidRDefault="007C2097" w:rsidP="002F12EF">
      <w:pPr>
        <w:jc w:val="both"/>
        <w:rPr>
          <w:rFonts w:ascii="Tw Cen MT" w:hAnsi="Tw Cen MT"/>
        </w:rPr>
      </w:pPr>
    </w:p>
    <w:p w14:paraId="57380F8B" w14:textId="7C47BF28" w:rsidR="00DC4E25" w:rsidRDefault="00CF41E5" w:rsidP="002F12EF">
      <w:pPr>
        <w:jc w:val="both"/>
        <w:rPr>
          <w:rFonts w:ascii="Tw Cen MT" w:hAnsi="Tw Cen MT"/>
          <w:b/>
          <w:bCs/>
        </w:rPr>
      </w:pPr>
      <w:r>
        <w:rPr>
          <w:rFonts w:ascii="Tw Cen MT" w:hAnsi="Tw Cen MT"/>
          <w:b/>
          <w:bCs/>
        </w:rPr>
        <w:t>Child Death Overview Panel (CDOP) Annual Report 2020/21</w:t>
      </w:r>
    </w:p>
    <w:p w14:paraId="6A557785" w14:textId="1C2478CD" w:rsidR="00D86BE1" w:rsidRDefault="007C2097" w:rsidP="002F12EF">
      <w:pPr>
        <w:jc w:val="both"/>
        <w:rPr>
          <w:rFonts w:ascii="Tw Cen MT" w:hAnsi="Tw Cen MT" w:cs="Arial"/>
          <w:color w:val="202124"/>
          <w:shd w:val="clear" w:color="auto" w:fill="FFFFFF"/>
        </w:rPr>
      </w:pPr>
      <w:r>
        <w:rPr>
          <w:rFonts w:ascii="Tw Cen MT" w:hAnsi="Tw Cen MT"/>
        </w:rPr>
        <w:t>Cynthia Florian, Chair of the Sussex CDOP, presented the annual report of the Panel, not</w:t>
      </w:r>
      <w:r w:rsidR="007C31E9">
        <w:rPr>
          <w:rFonts w:ascii="Tw Cen MT" w:hAnsi="Tw Cen MT"/>
        </w:rPr>
        <w:t>ing</w:t>
      </w:r>
      <w:r>
        <w:rPr>
          <w:rFonts w:ascii="Tw Cen MT" w:hAnsi="Tw Cen MT"/>
        </w:rPr>
        <w:t xml:space="preserve"> that CDOP was notified of 54 deaths of children </w:t>
      </w:r>
      <w:r w:rsidR="007C31E9">
        <w:rPr>
          <w:rFonts w:ascii="Tw Cen MT" w:hAnsi="Tw Cen MT"/>
        </w:rPr>
        <w:t xml:space="preserve">living </w:t>
      </w:r>
      <w:r>
        <w:rPr>
          <w:rFonts w:ascii="Tw Cen MT" w:hAnsi="Tw Cen MT"/>
        </w:rPr>
        <w:t xml:space="preserve">in Sussex in 2020-21 – this was the lowest number to date in the 11 years since the panels were established. </w:t>
      </w:r>
      <w:r w:rsidR="00D86BE1">
        <w:rPr>
          <w:rFonts w:ascii="Tw Cen MT" w:hAnsi="Tw Cen MT"/>
        </w:rPr>
        <w:t xml:space="preserve"> The Board </w:t>
      </w:r>
      <w:r w:rsidR="007C31E9">
        <w:rPr>
          <w:rFonts w:ascii="Tw Cen MT" w:hAnsi="Tw Cen MT"/>
        </w:rPr>
        <w:t>were informed</w:t>
      </w:r>
      <w:r w:rsidR="00D86BE1">
        <w:rPr>
          <w:rFonts w:ascii="Tw Cen MT" w:hAnsi="Tw Cen MT"/>
        </w:rPr>
        <w:t xml:space="preserve"> that a third of child deaths reviewed in 2020/21 were found to have ‘modifiable’ </w:t>
      </w:r>
      <w:r w:rsidR="00D86BE1" w:rsidRPr="00D86BE1">
        <w:rPr>
          <w:rFonts w:ascii="Tw Cen MT" w:hAnsi="Tw Cen MT"/>
        </w:rPr>
        <w:t xml:space="preserve">factors - </w:t>
      </w:r>
      <w:r w:rsidR="00D86BE1" w:rsidRPr="00D86BE1">
        <w:rPr>
          <w:rFonts w:ascii="Tw Cen MT" w:hAnsi="Tw Cen MT" w:cs="Arial"/>
          <w:color w:val="202124"/>
          <w:shd w:val="clear" w:color="auto" w:fill="FFFFFF"/>
        </w:rPr>
        <w:t>those where, if actions could be taken through national or local interventions, the risk of future child deaths could be reduced</w:t>
      </w:r>
      <w:r w:rsidR="00D86BE1">
        <w:rPr>
          <w:rFonts w:ascii="Tw Cen MT" w:hAnsi="Tw Cen MT" w:cs="Arial"/>
          <w:color w:val="202124"/>
          <w:shd w:val="clear" w:color="auto" w:fill="FFFFFF"/>
        </w:rPr>
        <w:t xml:space="preserve">. </w:t>
      </w:r>
    </w:p>
    <w:p w14:paraId="134A9011" w14:textId="172C626B" w:rsidR="00D86BE1" w:rsidRDefault="00D86BE1" w:rsidP="002F12EF">
      <w:pPr>
        <w:jc w:val="both"/>
        <w:rPr>
          <w:rFonts w:ascii="Tw Cen MT" w:hAnsi="Tw Cen MT" w:cs="Arial"/>
          <w:color w:val="202124"/>
          <w:shd w:val="clear" w:color="auto" w:fill="FFFFFF"/>
        </w:rPr>
      </w:pPr>
      <w:r>
        <w:rPr>
          <w:rFonts w:ascii="Tw Cen MT" w:hAnsi="Tw Cen MT" w:cs="Arial"/>
          <w:color w:val="202124"/>
          <w:shd w:val="clear" w:color="auto" w:fill="FFFFFF"/>
        </w:rPr>
        <w:t xml:space="preserve">The Board noted </w:t>
      </w:r>
      <w:r w:rsidR="007C31E9">
        <w:rPr>
          <w:rFonts w:ascii="Tw Cen MT" w:hAnsi="Tw Cen MT" w:cs="Arial"/>
          <w:color w:val="202124"/>
          <w:shd w:val="clear" w:color="auto" w:fill="FFFFFF"/>
        </w:rPr>
        <w:t xml:space="preserve">the </w:t>
      </w:r>
      <w:r>
        <w:rPr>
          <w:rFonts w:ascii="Tw Cen MT" w:hAnsi="Tw Cen MT" w:cs="Arial"/>
          <w:color w:val="202124"/>
          <w:shd w:val="clear" w:color="auto" w:fill="FFFFFF"/>
        </w:rPr>
        <w:t xml:space="preserve">Pan Sussex </w:t>
      </w:r>
      <w:r w:rsidR="007C31E9">
        <w:rPr>
          <w:rFonts w:ascii="Tw Cen MT" w:hAnsi="Tw Cen MT" w:cs="Arial"/>
          <w:color w:val="202124"/>
          <w:shd w:val="clear" w:color="auto" w:fill="FFFFFF"/>
        </w:rPr>
        <w:t xml:space="preserve">CDOPs </w:t>
      </w:r>
      <w:r>
        <w:rPr>
          <w:rFonts w:ascii="Tw Cen MT" w:hAnsi="Tw Cen MT" w:cs="Arial"/>
          <w:color w:val="202124"/>
          <w:shd w:val="clear" w:color="auto" w:fill="FFFFFF"/>
        </w:rPr>
        <w:t xml:space="preserve">concerns, arising from the CDOP’s review work, regarding diversity and inclusion, services for parents who misuse substances, and professional’s understanding of working with children with complex neuro disabilities. The CDOP chair was asked to provide specific examples of these concerns so that a Pan Sussex/East Sussex response could be followed up. </w:t>
      </w:r>
    </w:p>
    <w:p w14:paraId="001688AA" w14:textId="1532DA75" w:rsidR="005B2CD9" w:rsidRDefault="005B2CD9" w:rsidP="002F12EF">
      <w:pPr>
        <w:jc w:val="both"/>
        <w:rPr>
          <w:rFonts w:ascii="Arial" w:hAnsi="Arial" w:cs="Arial"/>
          <w:b/>
          <w:bCs/>
          <w:color w:val="202124"/>
          <w:shd w:val="clear" w:color="auto" w:fill="FFFFFF"/>
        </w:rPr>
      </w:pPr>
      <w:r>
        <w:rPr>
          <w:rFonts w:ascii="Tw Cen MT" w:hAnsi="Tw Cen MT" w:cs="Arial"/>
          <w:color w:val="202124"/>
          <w:shd w:val="clear" w:color="auto" w:fill="FFFFFF"/>
        </w:rPr>
        <w:t>The Board also discussed the impact on wellbeing of staff who respond to child deaths. A board member recommended ‘</w:t>
      </w:r>
      <w:hyperlink r:id="rId6" w:history="1">
        <w:proofErr w:type="gramStart"/>
        <w:r w:rsidRPr="005B2CD9">
          <w:rPr>
            <w:rStyle w:val="Hyperlink"/>
            <w:rFonts w:ascii="Tw Cen MT" w:hAnsi="Tw Cen MT" w:cs="Arial"/>
            <w:shd w:val="clear" w:color="auto" w:fill="FFFFFF"/>
          </w:rPr>
          <w:t>First Hand</w:t>
        </w:r>
        <w:proofErr w:type="gramEnd"/>
        <w:r w:rsidRPr="005B2CD9">
          <w:rPr>
            <w:rStyle w:val="Hyperlink"/>
            <w:rFonts w:ascii="Tw Cen MT" w:hAnsi="Tw Cen MT" w:cs="Arial"/>
            <w:shd w:val="clear" w:color="auto" w:fill="FFFFFF"/>
          </w:rPr>
          <w:t>’ a resource for anyone affected by witnessing suicide</w:t>
        </w:r>
      </w:hyperlink>
      <w:r w:rsidR="007C31E9">
        <w:rPr>
          <w:rFonts w:ascii="Tw Cen MT" w:hAnsi="Tw Cen MT" w:cs="Arial"/>
          <w:color w:val="202124"/>
          <w:shd w:val="clear" w:color="auto" w:fill="FFFFFF"/>
        </w:rPr>
        <w:t xml:space="preserve">. </w:t>
      </w:r>
      <w:r>
        <w:rPr>
          <w:rFonts w:ascii="Tw Cen MT" w:hAnsi="Tw Cen MT" w:cs="Arial"/>
          <w:color w:val="202124"/>
          <w:shd w:val="clear" w:color="auto" w:fill="FFFFFF"/>
        </w:rPr>
        <w:t xml:space="preserve"> </w:t>
      </w:r>
    </w:p>
    <w:p w14:paraId="38902E4D" w14:textId="77777777" w:rsidR="005B2CD9" w:rsidRDefault="005B2CD9" w:rsidP="002F12EF">
      <w:pPr>
        <w:jc w:val="both"/>
        <w:rPr>
          <w:rFonts w:ascii="Tw Cen MT" w:hAnsi="Tw Cen MT"/>
          <w:b/>
          <w:bCs/>
        </w:rPr>
      </w:pPr>
    </w:p>
    <w:p w14:paraId="59B7725C" w14:textId="52292735" w:rsidR="00F85E3A" w:rsidRPr="00A25205" w:rsidRDefault="005B2CD9" w:rsidP="002F12EF">
      <w:pPr>
        <w:jc w:val="both"/>
        <w:rPr>
          <w:rFonts w:ascii="Tw Cen MT" w:hAnsi="Tw Cen MT"/>
          <w:b/>
          <w:bCs/>
        </w:rPr>
      </w:pPr>
      <w:r>
        <w:rPr>
          <w:rFonts w:ascii="Tw Cen MT" w:hAnsi="Tw Cen MT"/>
          <w:b/>
          <w:bCs/>
        </w:rPr>
        <w:t xml:space="preserve">Any other Business and </w:t>
      </w:r>
      <w:r w:rsidR="00CF41E5">
        <w:rPr>
          <w:rFonts w:ascii="Tw Cen MT" w:hAnsi="Tw Cen MT"/>
          <w:b/>
          <w:bCs/>
        </w:rPr>
        <w:t>Critical Service Issues</w:t>
      </w:r>
    </w:p>
    <w:p w14:paraId="51B4E76B" w14:textId="5C0ADEC5" w:rsidR="005B2CD9" w:rsidRPr="005B2CD9" w:rsidRDefault="00F85E3A" w:rsidP="005B2CD9">
      <w:pPr>
        <w:pStyle w:val="ListParagraph"/>
        <w:numPr>
          <w:ilvl w:val="0"/>
          <w:numId w:val="3"/>
        </w:numPr>
        <w:jc w:val="both"/>
      </w:pPr>
      <w:r w:rsidRPr="00A25205">
        <w:rPr>
          <w:rFonts w:ascii="Tw Cen MT" w:hAnsi="Tw Cen MT"/>
          <w:sz w:val="22"/>
        </w:rPr>
        <w:t xml:space="preserve">Board members were </w:t>
      </w:r>
      <w:bookmarkEnd w:id="0"/>
      <w:r w:rsidR="005B2CD9">
        <w:rPr>
          <w:rFonts w:ascii="Tw Cen MT" w:hAnsi="Tw Cen MT"/>
          <w:sz w:val="22"/>
        </w:rPr>
        <w:t xml:space="preserve">informed of the substantial </w:t>
      </w:r>
      <w:r w:rsidR="007C31E9">
        <w:rPr>
          <w:rFonts w:ascii="Tw Cen MT" w:hAnsi="Tw Cen MT"/>
          <w:sz w:val="22"/>
        </w:rPr>
        <w:t xml:space="preserve">rise in </w:t>
      </w:r>
      <w:r w:rsidR="005B2CD9">
        <w:rPr>
          <w:rFonts w:ascii="Tw Cen MT" w:hAnsi="Tw Cen MT"/>
          <w:sz w:val="22"/>
        </w:rPr>
        <w:t xml:space="preserve">case review activity, that is not only having a significant impact on CRG members and the ESSCP Business Unit, but also safeguarding leads in agencies. </w:t>
      </w:r>
    </w:p>
    <w:p w14:paraId="7914A9E1" w14:textId="2818F654" w:rsidR="005B2CD9" w:rsidRPr="00A32FA8" w:rsidRDefault="005B2CD9" w:rsidP="005B2CD9">
      <w:pPr>
        <w:pStyle w:val="ListParagraph"/>
        <w:numPr>
          <w:ilvl w:val="0"/>
          <w:numId w:val="3"/>
        </w:numPr>
        <w:jc w:val="both"/>
      </w:pPr>
      <w:r>
        <w:rPr>
          <w:rFonts w:ascii="Tw Cen MT" w:hAnsi="Tw Cen MT"/>
          <w:sz w:val="22"/>
        </w:rPr>
        <w:t xml:space="preserve">Board members noted </w:t>
      </w:r>
      <w:r w:rsidR="00A32FA8">
        <w:rPr>
          <w:rFonts w:ascii="Tw Cen MT" w:hAnsi="Tw Cen MT"/>
          <w:sz w:val="22"/>
        </w:rPr>
        <w:t xml:space="preserve">the Lansdowne Annual Report, Safeguarding Annual Report, and ESSCP Annual Report which were circulated for information. </w:t>
      </w:r>
    </w:p>
    <w:p w14:paraId="60AEC9A2" w14:textId="3201BAE3" w:rsidR="00A32FA8" w:rsidRPr="00F85E3A" w:rsidRDefault="00A32FA8" w:rsidP="005B2CD9">
      <w:pPr>
        <w:pStyle w:val="ListParagraph"/>
        <w:numPr>
          <w:ilvl w:val="0"/>
          <w:numId w:val="3"/>
        </w:numPr>
        <w:jc w:val="both"/>
      </w:pPr>
      <w:r>
        <w:rPr>
          <w:rFonts w:ascii="Tw Cen MT" w:hAnsi="Tw Cen MT"/>
          <w:sz w:val="22"/>
        </w:rPr>
        <w:t xml:space="preserve">Board members were asked to publicise the call for </w:t>
      </w:r>
      <w:hyperlink r:id="rId7" w:history="1">
        <w:r w:rsidRPr="00A32FA8">
          <w:rPr>
            <w:rStyle w:val="Hyperlink"/>
            <w:rFonts w:ascii="Tw Cen MT" w:hAnsi="Tw Cen MT"/>
            <w:sz w:val="22"/>
          </w:rPr>
          <w:t>fathers, and non-birthing partners, to take part in local research to understand the challenges about their engagement in services</w:t>
        </w:r>
      </w:hyperlink>
      <w:r>
        <w:rPr>
          <w:rFonts w:ascii="Tw Cen MT" w:hAnsi="Tw Cen MT"/>
          <w:sz w:val="22"/>
        </w:rPr>
        <w:t xml:space="preserve">. </w:t>
      </w:r>
      <w:bookmarkEnd w:id="1"/>
    </w:p>
    <w:sectPr w:rsidR="00A32FA8" w:rsidRPr="00F85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5468C"/>
    <w:multiLevelType w:val="hybridMultilevel"/>
    <w:tmpl w:val="5AC6EA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C2E80"/>
    <w:multiLevelType w:val="hybridMultilevel"/>
    <w:tmpl w:val="4B009752"/>
    <w:lvl w:ilvl="0" w:tplc="EE42104A">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C1BA9"/>
    <w:multiLevelType w:val="hybridMultilevel"/>
    <w:tmpl w:val="AE5EFCAC"/>
    <w:lvl w:ilvl="0" w:tplc="07386BD6">
      <w:start w:val="1"/>
      <w:numFmt w:val="bullet"/>
      <w:lvlText w:val="•"/>
      <w:lvlJc w:val="left"/>
      <w:pPr>
        <w:tabs>
          <w:tab w:val="num" w:pos="720"/>
        </w:tabs>
        <w:ind w:left="720" w:hanging="360"/>
      </w:pPr>
      <w:rPr>
        <w:rFonts w:ascii="Arial" w:hAnsi="Arial" w:hint="default"/>
      </w:rPr>
    </w:lvl>
    <w:lvl w:ilvl="1" w:tplc="4CF6D8B4" w:tentative="1">
      <w:start w:val="1"/>
      <w:numFmt w:val="bullet"/>
      <w:lvlText w:val="•"/>
      <w:lvlJc w:val="left"/>
      <w:pPr>
        <w:tabs>
          <w:tab w:val="num" w:pos="1440"/>
        </w:tabs>
        <w:ind w:left="1440" w:hanging="360"/>
      </w:pPr>
      <w:rPr>
        <w:rFonts w:ascii="Arial" w:hAnsi="Arial" w:hint="default"/>
      </w:rPr>
    </w:lvl>
    <w:lvl w:ilvl="2" w:tplc="01F2FF44" w:tentative="1">
      <w:start w:val="1"/>
      <w:numFmt w:val="bullet"/>
      <w:lvlText w:val="•"/>
      <w:lvlJc w:val="left"/>
      <w:pPr>
        <w:tabs>
          <w:tab w:val="num" w:pos="2160"/>
        </w:tabs>
        <w:ind w:left="2160" w:hanging="360"/>
      </w:pPr>
      <w:rPr>
        <w:rFonts w:ascii="Arial" w:hAnsi="Arial" w:hint="default"/>
      </w:rPr>
    </w:lvl>
    <w:lvl w:ilvl="3" w:tplc="7D885B28" w:tentative="1">
      <w:start w:val="1"/>
      <w:numFmt w:val="bullet"/>
      <w:lvlText w:val="•"/>
      <w:lvlJc w:val="left"/>
      <w:pPr>
        <w:tabs>
          <w:tab w:val="num" w:pos="2880"/>
        </w:tabs>
        <w:ind w:left="2880" w:hanging="360"/>
      </w:pPr>
      <w:rPr>
        <w:rFonts w:ascii="Arial" w:hAnsi="Arial" w:hint="default"/>
      </w:rPr>
    </w:lvl>
    <w:lvl w:ilvl="4" w:tplc="6FC093A4" w:tentative="1">
      <w:start w:val="1"/>
      <w:numFmt w:val="bullet"/>
      <w:lvlText w:val="•"/>
      <w:lvlJc w:val="left"/>
      <w:pPr>
        <w:tabs>
          <w:tab w:val="num" w:pos="3600"/>
        </w:tabs>
        <w:ind w:left="3600" w:hanging="360"/>
      </w:pPr>
      <w:rPr>
        <w:rFonts w:ascii="Arial" w:hAnsi="Arial" w:hint="default"/>
      </w:rPr>
    </w:lvl>
    <w:lvl w:ilvl="5" w:tplc="7CFEB2D4" w:tentative="1">
      <w:start w:val="1"/>
      <w:numFmt w:val="bullet"/>
      <w:lvlText w:val="•"/>
      <w:lvlJc w:val="left"/>
      <w:pPr>
        <w:tabs>
          <w:tab w:val="num" w:pos="4320"/>
        </w:tabs>
        <w:ind w:left="4320" w:hanging="360"/>
      </w:pPr>
      <w:rPr>
        <w:rFonts w:ascii="Arial" w:hAnsi="Arial" w:hint="default"/>
      </w:rPr>
    </w:lvl>
    <w:lvl w:ilvl="6" w:tplc="08866B6E" w:tentative="1">
      <w:start w:val="1"/>
      <w:numFmt w:val="bullet"/>
      <w:lvlText w:val="•"/>
      <w:lvlJc w:val="left"/>
      <w:pPr>
        <w:tabs>
          <w:tab w:val="num" w:pos="5040"/>
        </w:tabs>
        <w:ind w:left="5040" w:hanging="360"/>
      </w:pPr>
      <w:rPr>
        <w:rFonts w:ascii="Arial" w:hAnsi="Arial" w:hint="default"/>
      </w:rPr>
    </w:lvl>
    <w:lvl w:ilvl="7" w:tplc="D6087CDE" w:tentative="1">
      <w:start w:val="1"/>
      <w:numFmt w:val="bullet"/>
      <w:lvlText w:val="•"/>
      <w:lvlJc w:val="left"/>
      <w:pPr>
        <w:tabs>
          <w:tab w:val="num" w:pos="5760"/>
        </w:tabs>
        <w:ind w:left="5760" w:hanging="360"/>
      </w:pPr>
      <w:rPr>
        <w:rFonts w:ascii="Arial" w:hAnsi="Arial" w:hint="default"/>
      </w:rPr>
    </w:lvl>
    <w:lvl w:ilvl="8" w:tplc="F77E3D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023076"/>
    <w:multiLevelType w:val="hybridMultilevel"/>
    <w:tmpl w:val="957A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10957"/>
    <w:multiLevelType w:val="hybridMultilevel"/>
    <w:tmpl w:val="0D1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3D"/>
    <w:rsid w:val="000B17E5"/>
    <w:rsid w:val="001C239F"/>
    <w:rsid w:val="001C5BA4"/>
    <w:rsid w:val="002F12EF"/>
    <w:rsid w:val="00321BBE"/>
    <w:rsid w:val="003372E4"/>
    <w:rsid w:val="003C08D2"/>
    <w:rsid w:val="0054743D"/>
    <w:rsid w:val="00565989"/>
    <w:rsid w:val="005A4757"/>
    <w:rsid w:val="005B2CD9"/>
    <w:rsid w:val="005D2DA5"/>
    <w:rsid w:val="006863FD"/>
    <w:rsid w:val="007878F7"/>
    <w:rsid w:val="007C2097"/>
    <w:rsid w:val="007C31E9"/>
    <w:rsid w:val="007E5AFF"/>
    <w:rsid w:val="00A25205"/>
    <w:rsid w:val="00A32FA8"/>
    <w:rsid w:val="00A476B5"/>
    <w:rsid w:val="00AC0198"/>
    <w:rsid w:val="00B15C98"/>
    <w:rsid w:val="00B3387D"/>
    <w:rsid w:val="00C72BAD"/>
    <w:rsid w:val="00CF41E5"/>
    <w:rsid w:val="00D86BE1"/>
    <w:rsid w:val="00DC4E25"/>
    <w:rsid w:val="00F25C97"/>
    <w:rsid w:val="00F85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4C00"/>
  <w15:chartTrackingRefBased/>
  <w15:docId w15:val="{F11666F3-C003-4A62-9DA9-8DB25025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43D"/>
    <w:rPr>
      <w:color w:val="0000FF"/>
      <w:u w:val="single"/>
    </w:rPr>
  </w:style>
  <w:style w:type="paragraph" w:styleId="ListParagraph">
    <w:name w:val="List Paragraph"/>
    <w:basedOn w:val="Normal"/>
    <w:uiPriority w:val="34"/>
    <w:qFormat/>
    <w:rsid w:val="00AC0198"/>
    <w:pPr>
      <w:spacing w:after="0" w:line="240" w:lineRule="auto"/>
      <w:ind w:left="720"/>
      <w:contextualSpacing/>
    </w:pPr>
    <w:rPr>
      <w:rFonts w:ascii="Arial" w:eastAsia="Times New Roman" w:hAnsi="Arial" w:cs="Arial"/>
      <w:sz w:val="24"/>
      <w:lang w:eastAsia="en-GB"/>
    </w:rPr>
  </w:style>
  <w:style w:type="paragraph" w:styleId="BalloonText">
    <w:name w:val="Balloon Text"/>
    <w:basedOn w:val="Normal"/>
    <w:link w:val="BalloonTextChar"/>
    <w:uiPriority w:val="99"/>
    <w:semiHidden/>
    <w:unhideWhenUsed/>
    <w:rsid w:val="00F25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97"/>
    <w:rPr>
      <w:rFonts w:ascii="Segoe UI" w:hAnsi="Segoe UI" w:cs="Segoe UI"/>
      <w:sz w:val="18"/>
      <w:szCs w:val="18"/>
    </w:rPr>
  </w:style>
  <w:style w:type="paragraph" w:customStyle="1" w:styleId="Default">
    <w:name w:val="Default"/>
    <w:rsid w:val="007E5AF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B2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218">
      <w:bodyDiv w:val="1"/>
      <w:marLeft w:val="0"/>
      <w:marRight w:val="0"/>
      <w:marTop w:val="0"/>
      <w:marBottom w:val="0"/>
      <w:divBdr>
        <w:top w:val="none" w:sz="0" w:space="0" w:color="auto"/>
        <w:left w:val="none" w:sz="0" w:space="0" w:color="auto"/>
        <w:bottom w:val="none" w:sz="0" w:space="0" w:color="auto"/>
        <w:right w:val="none" w:sz="0" w:space="0" w:color="auto"/>
      </w:divBdr>
      <w:divsChild>
        <w:div w:id="1371416365">
          <w:marLeft w:val="360"/>
          <w:marRight w:val="0"/>
          <w:marTop w:val="200"/>
          <w:marBottom w:val="0"/>
          <w:divBdr>
            <w:top w:val="none" w:sz="0" w:space="0" w:color="auto"/>
            <w:left w:val="none" w:sz="0" w:space="0" w:color="auto"/>
            <w:bottom w:val="none" w:sz="0" w:space="0" w:color="auto"/>
            <w:right w:val="none" w:sz="0" w:space="0" w:color="auto"/>
          </w:divBdr>
        </w:div>
      </w:divsChild>
    </w:div>
    <w:div w:id="939679703">
      <w:bodyDiv w:val="1"/>
      <w:marLeft w:val="0"/>
      <w:marRight w:val="0"/>
      <w:marTop w:val="0"/>
      <w:marBottom w:val="0"/>
      <w:divBdr>
        <w:top w:val="none" w:sz="0" w:space="0" w:color="auto"/>
        <w:left w:val="none" w:sz="0" w:space="0" w:color="auto"/>
        <w:bottom w:val="none" w:sz="0" w:space="0" w:color="auto"/>
        <w:right w:val="none" w:sz="0" w:space="0" w:color="auto"/>
      </w:divBdr>
    </w:div>
    <w:div w:id="1377006761">
      <w:bodyDiv w:val="1"/>
      <w:marLeft w:val="0"/>
      <w:marRight w:val="0"/>
      <w:marTop w:val="0"/>
      <w:marBottom w:val="0"/>
      <w:divBdr>
        <w:top w:val="none" w:sz="0" w:space="0" w:color="auto"/>
        <w:left w:val="none" w:sz="0" w:space="0" w:color="auto"/>
        <w:bottom w:val="none" w:sz="0" w:space="0" w:color="auto"/>
        <w:right w:val="none" w:sz="0" w:space="0" w:color="auto"/>
      </w:divBdr>
    </w:div>
    <w:div w:id="20539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scp.org.uk/hearing-the-views-of-fathers-and-non-birthing-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st-hand.org.uk/" TargetMode="External"/><Relationship Id="rId5" Type="http://schemas.openxmlformats.org/officeDocument/2006/relationships/hyperlink" Target="mailto:ESSCP.Contact@eastsussex.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Victoria Jones</cp:lastModifiedBy>
  <cp:revision>3</cp:revision>
  <dcterms:created xsi:type="dcterms:W3CDTF">2021-12-21T14:01:00Z</dcterms:created>
  <dcterms:modified xsi:type="dcterms:W3CDTF">2021-12-21T14:15:00Z</dcterms:modified>
</cp:coreProperties>
</file>