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DD43" w14:textId="4169B2C3" w:rsidR="00726B65" w:rsidRDefault="0072292C" w:rsidP="0072292C">
      <w:pPr>
        <w:tabs>
          <w:tab w:val="left" w:pos="5385"/>
        </w:tabs>
        <w:jc w:val="right"/>
      </w:pPr>
      <w:r>
        <w:tab/>
      </w:r>
      <w:r>
        <w:rPr>
          <w:noProof/>
        </w:rPr>
        <w:drawing>
          <wp:inline distT="0" distB="0" distL="0" distR="0" wp14:anchorId="1167BEA4" wp14:editId="48E98394">
            <wp:extent cx="15811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5C1354" w14:textId="7FA43A24" w:rsidR="00636104" w:rsidRPr="00F758EC" w:rsidRDefault="00636104" w:rsidP="0063610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color w:val="000000"/>
          <w:sz w:val="28"/>
          <w:szCs w:val="28"/>
          <w:lang w:eastAsia="en-GB"/>
        </w:rPr>
      </w:pPr>
      <w:r w:rsidRPr="00F758EC">
        <w:rPr>
          <w:rFonts w:ascii="Trebuchet MS" w:hAnsi="Trebuchet MS" w:cs="Arial"/>
          <w:b/>
          <w:bCs/>
          <w:color w:val="000000"/>
          <w:sz w:val="28"/>
          <w:szCs w:val="28"/>
          <w:lang w:eastAsia="en-GB"/>
        </w:rPr>
        <w:t>East Sussex</w:t>
      </w:r>
      <w:r w:rsidR="00762882" w:rsidRPr="00F758EC">
        <w:rPr>
          <w:rFonts w:ascii="Trebuchet MS" w:hAnsi="Trebuchet MS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72292C" w:rsidRPr="00F758EC">
        <w:rPr>
          <w:rFonts w:ascii="Trebuchet MS" w:hAnsi="Trebuchet MS" w:cs="Arial"/>
          <w:b/>
          <w:bCs/>
          <w:color w:val="000000"/>
          <w:sz w:val="28"/>
          <w:szCs w:val="28"/>
          <w:lang w:eastAsia="en-GB"/>
        </w:rPr>
        <w:t>Safeguarding Children Partnership (ESSCP)</w:t>
      </w:r>
    </w:p>
    <w:p w14:paraId="025E5C01" w14:textId="77777777" w:rsidR="00762882" w:rsidRPr="00F758EC" w:rsidRDefault="00762882" w:rsidP="0063610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color w:val="000000"/>
          <w:sz w:val="28"/>
          <w:szCs w:val="28"/>
          <w:lang w:eastAsia="en-GB"/>
        </w:rPr>
      </w:pPr>
    </w:p>
    <w:p w14:paraId="78FC47B6" w14:textId="5A577422" w:rsidR="00636104" w:rsidRPr="00F758EC" w:rsidRDefault="00636104" w:rsidP="0063610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color w:val="000000"/>
          <w:sz w:val="28"/>
          <w:szCs w:val="28"/>
          <w:lang w:eastAsia="en-GB"/>
        </w:rPr>
      </w:pPr>
      <w:r w:rsidRPr="00F758EC">
        <w:rPr>
          <w:rFonts w:ascii="Trebuchet MS" w:hAnsi="Trebuchet MS" w:cs="Arial"/>
          <w:b/>
          <w:bCs/>
          <w:color w:val="000000"/>
          <w:sz w:val="28"/>
          <w:szCs w:val="28"/>
          <w:lang w:eastAsia="en-GB"/>
        </w:rPr>
        <w:t>Tr</w:t>
      </w:r>
      <w:r w:rsidR="006D6DA9" w:rsidRPr="00F758EC">
        <w:rPr>
          <w:rFonts w:ascii="Trebuchet MS" w:hAnsi="Trebuchet MS" w:cs="Arial"/>
          <w:b/>
          <w:bCs/>
          <w:color w:val="000000"/>
          <w:sz w:val="28"/>
          <w:szCs w:val="28"/>
          <w:lang w:eastAsia="en-GB"/>
        </w:rPr>
        <w:t xml:space="preserve">aining Charging Policy </w:t>
      </w:r>
    </w:p>
    <w:p w14:paraId="0157F78D" w14:textId="77777777" w:rsidR="00636104" w:rsidRPr="00F758EC" w:rsidRDefault="00636104" w:rsidP="0063610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color w:val="000000"/>
          <w:sz w:val="28"/>
          <w:szCs w:val="28"/>
          <w:lang w:eastAsia="en-GB"/>
        </w:rPr>
      </w:pPr>
    </w:p>
    <w:p w14:paraId="26C08BF4" w14:textId="77777777" w:rsidR="00636104" w:rsidRPr="00F758EC" w:rsidRDefault="00636104" w:rsidP="0063610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  <w:lang w:eastAsia="en-GB"/>
        </w:rPr>
      </w:pPr>
      <w:r w:rsidRPr="00F758EC">
        <w:rPr>
          <w:rFonts w:ascii="Trebuchet MS" w:hAnsi="Trebuchet MS" w:cs="Arial"/>
          <w:color w:val="000000"/>
          <w:sz w:val="24"/>
          <w:szCs w:val="24"/>
          <w:lang w:eastAsia="en-GB"/>
        </w:rPr>
        <w:t>The following table indicates the charges that apply depending which</w:t>
      </w:r>
      <w:r w:rsidR="00AA7501" w:rsidRPr="00F758EC">
        <w:rPr>
          <w:rFonts w:ascii="Trebuchet MS" w:hAnsi="Trebuchet MS" w:cs="Arial"/>
          <w:color w:val="000000"/>
          <w:sz w:val="24"/>
          <w:szCs w:val="24"/>
          <w:lang w:eastAsia="en-GB"/>
        </w:rPr>
        <w:t xml:space="preserve"> </w:t>
      </w:r>
      <w:r w:rsidRPr="00F758EC">
        <w:rPr>
          <w:rFonts w:ascii="Trebuchet MS" w:hAnsi="Trebuchet MS" w:cs="Arial"/>
          <w:color w:val="000000"/>
          <w:sz w:val="24"/>
          <w:szCs w:val="24"/>
          <w:lang w:eastAsia="en-GB"/>
        </w:rPr>
        <w:t xml:space="preserve">agency/organisation you work for. </w:t>
      </w:r>
    </w:p>
    <w:p w14:paraId="43C5DE2B" w14:textId="77777777" w:rsidR="00AA7501" w:rsidRPr="00F758EC" w:rsidRDefault="00AA7501" w:rsidP="0063610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  <w:lang w:eastAsia="en-GB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40" w:firstRow="0" w:lastRow="1" w:firstColumn="0" w:lastColumn="0" w:noHBand="0" w:noVBand="1"/>
      </w:tblPr>
      <w:tblGrid>
        <w:gridCol w:w="7401"/>
        <w:gridCol w:w="1275"/>
        <w:gridCol w:w="1276"/>
      </w:tblGrid>
      <w:tr w:rsidR="00F758EC" w:rsidRPr="00F758EC" w14:paraId="3BEA6715" w14:textId="77777777" w:rsidTr="00F758EC">
        <w:trPr>
          <w:trHeight w:val="515"/>
        </w:trPr>
        <w:tc>
          <w:tcPr>
            <w:tcW w:w="7401" w:type="dxa"/>
            <w:shd w:val="clear" w:color="auto" w:fill="F2DBDB"/>
          </w:tcPr>
          <w:p w14:paraId="18E8E463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  <w:t>Organisation/ Agency</w:t>
            </w:r>
          </w:p>
        </w:tc>
        <w:tc>
          <w:tcPr>
            <w:tcW w:w="1275" w:type="dxa"/>
            <w:shd w:val="clear" w:color="auto" w:fill="F2DBDB"/>
          </w:tcPr>
          <w:p w14:paraId="398E7425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  <w:t>Full day</w:t>
            </w:r>
          </w:p>
          <w:p w14:paraId="290A828A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  <w:t>course *</w:t>
            </w:r>
          </w:p>
        </w:tc>
        <w:tc>
          <w:tcPr>
            <w:tcW w:w="1276" w:type="dxa"/>
            <w:shd w:val="clear" w:color="auto" w:fill="F2DBDB"/>
          </w:tcPr>
          <w:p w14:paraId="133EAC78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  <w:t>Half day</w:t>
            </w:r>
          </w:p>
          <w:p w14:paraId="666B443E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  <w:t>course *</w:t>
            </w:r>
          </w:p>
        </w:tc>
      </w:tr>
      <w:tr w:rsidR="00F758EC" w:rsidRPr="00F758EC" w14:paraId="0A19DA44" w14:textId="77777777" w:rsidTr="00F758EC">
        <w:tc>
          <w:tcPr>
            <w:tcW w:w="7401" w:type="dxa"/>
            <w:shd w:val="clear" w:color="auto" w:fill="auto"/>
          </w:tcPr>
          <w:p w14:paraId="40A7DD3C" w14:textId="77777777" w:rsidR="00F758EC" w:rsidRPr="00F758EC" w:rsidRDefault="00F758EC" w:rsidP="004346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Symbo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NHS staff</w:t>
            </w:r>
          </w:p>
          <w:p w14:paraId="02DF10E8" w14:textId="77777777" w:rsidR="00F758EC" w:rsidRPr="00F758EC" w:rsidRDefault="00F758EC" w:rsidP="004346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East Sussex County Council (ESCC) staff in:</w:t>
            </w:r>
          </w:p>
          <w:p w14:paraId="42983A0C" w14:textId="77777777" w:rsidR="00F758EC" w:rsidRPr="00F758EC" w:rsidRDefault="00F758EC" w:rsidP="0061617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Children’s Services</w:t>
            </w:r>
          </w:p>
          <w:p w14:paraId="64F7A6D1" w14:textId="77777777" w:rsidR="00F758EC" w:rsidRPr="00F758EC" w:rsidRDefault="00F758EC" w:rsidP="0061617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Adult Social Care</w:t>
            </w:r>
          </w:p>
          <w:p w14:paraId="0BC78336" w14:textId="77777777" w:rsidR="00F758EC" w:rsidRPr="00F758EC" w:rsidRDefault="00F758EC" w:rsidP="004346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ESCC maintained schools</w:t>
            </w:r>
          </w:p>
          <w:p w14:paraId="00015596" w14:textId="77777777" w:rsidR="00F758EC" w:rsidRPr="00F758EC" w:rsidRDefault="00F758EC" w:rsidP="004346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CAFCASS</w:t>
            </w:r>
          </w:p>
          <w:p w14:paraId="4E3CF9FD" w14:textId="77777777" w:rsidR="00F758EC" w:rsidRPr="00F758EC" w:rsidRDefault="00F758EC" w:rsidP="004346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Fire service</w:t>
            </w:r>
          </w:p>
          <w:p w14:paraId="144F35FB" w14:textId="33DBBB30" w:rsidR="00F758EC" w:rsidRPr="00F758EC" w:rsidRDefault="00F758EC" w:rsidP="004346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 xml:space="preserve">Probation  </w:t>
            </w:r>
          </w:p>
          <w:p w14:paraId="3DD6A212" w14:textId="77777777" w:rsidR="00F758EC" w:rsidRPr="00F758EC" w:rsidRDefault="00F758EC" w:rsidP="004346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Police</w:t>
            </w:r>
          </w:p>
          <w:p w14:paraId="6E1455BE" w14:textId="77777777" w:rsidR="00F758EC" w:rsidRPr="00F758EC" w:rsidRDefault="00F758EC" w:rsidP="004346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Change Grow Live (CGL)</w:t>
            </w:r>
          </w:p>
          <w:p w14:paraId="1D2A459F" w14:textId="77777777" w:rsidR="00F758EC" w:rsidRPr="00F758EC" w:rsidRDefault="00F758EC" w:rsidP="00EB65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Foster Carers/Carers</w:t>
            </w:r>
          </w:p>
        </w:tc>
        <w:tc>
          <w:tcPr>
            <w:tcW w:w="1275" w:type="dxa"/>
            <w:shd w:val="clear" w:color="auto" w:fill="auto"/>
          </w:tcPr>
          <w:p w14:paraId="79BDB84E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</w:p>
          <w:p w14:paraId="7E54767A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1276" w:type="dxa"/>
            <w:shd w:val="clear" w:color="auto" w:fill="auto"/>
          </w:tcPr>
          <w:p w14:paraId="09522720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</w:p>
          <w:p w14:paraId="2FB3B365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£0</w:t>
            </w:r>
          </w:p>
          <w:p w14:paraId="1BF5E915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758EC" w:rsidRPr="00F758EC" w14:paraId="20F14C7A" w14:textId="77777777" w:rsidTr="00F758EC">
        <w:tc>
          <w:tcPr>
            <w:tcW w:w="7401" w:type="dxa"/>
            <w:shd w:val="clear" w:color="auto" w:fill="auto"/>
          </w:tcPr>
          <w:p w14:paraId="1CD71A74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  <w:t>Small local groups</w:t>
            </w:r>
          </w:p>
          <w:p w14:paraId="031E8D04" w14:textId="77777777" w:rsidR="00F758EC" w:rsidRPr="00F758EC" w:rsidRDefault="00F758EC" w:rsidP="004346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Local Charities</w:t>
            </w:r>
          </w:p>
          <w:p w14:paraId="461480C2" w14:textId="77777777" w:rsidR="00F758EC" w:rsidRPr="00F758EC" w:rsidRDefault="00F758EC" w:rsidP="004346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Small Voluntary Community Groups</w:t>
            </w:r>
          </w:p>
          <w:p w14:paraId="1B9C7610" w14:textId="77777777" w:rsidR="00F758EC" w:rsidRPr="00F758EC" w:rsidRDefault="00F758EC" w:rsidP="004346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Private, voluntary or independent</w:t>
            </w:r>
          </w:p>
          <w:p w14:paraId="5C69F749" w14:textId="77777777" w:rsidR="00F758EC" w:rsidRPr="00F758EC" w:rsidRDefault="00F758EC" w:rsidP="004346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Early Years sector providers</w:t>
            </w:r>
          </w:p>
        </w:tc>
        <w:tc>
          <w:tcPr>
            <w:tcW w:w="1275" w:type="dxa"/>
            <w:shd w:val="clear" w:color="auto" w:fill="auto"/>
          </w:tcPr>
          <w:p w14:paraId="6840A38D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</w:p>
          <w:p w14:paraId="12CF57FA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£35.00</w:t>
            </w:r>
          </w:p>
        </w:tc>
        <w:tc>
          <w:tcPr>
            <w:tcW w:w="1276" w:type="dxa"/>
            <w:shd w:val="clear" w:color="auto" w:fill="auto"/>
          </w:tcPr>
          <w:p w14:paraId="376EE00C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</w:p>
          <w:p w14:paraId="3395F81D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£17.50</w:t>
            </w:r>
          </w:p>
          <w:p w14:paraId="1B5C3C84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758EC" w:rsidRPr="00F758EC" w14:paraId="62147A33" w14:textId="77777777" w:rsidTr="00F758EC">
        <w:tc>
          <w:tcPr>
            <w:tcW w:w="7401" w:type="dxa"/>
            <w:shd w:val="clear" w:color="auto" w:fill="auto"/>
          </w:tcPr>
          <w:p w14:paraId="640FB9F6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  <w:t>East Sussex Primary Academy Schools</w:t>
            </w:r>
          </w:p>
        </w:tc>
        <w:tc>
          <w:tcPr>
            <w:tcW w:w="1275" w:type="dxa"/>
            <w:shd w:val="clear" w:color="auto" w:fill="auto"/>
          </w:tcPr>
          <w:p w14:paraId="4A5E03CF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£70.00</w:t>
            </w:r>
          </w:p>
        </w:tc>
        <w:tc>
          <w:tcPr>
            <w:tcW w:w="1276" w:type="dxa"/>
            <w:shd w:val="clear" w:color="auto" w:fill="auto"/>
          </w:tcPr>
          <w:p w14:paraId="13C4F631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£35.00</w:t>
            </w:r>
          </w:p>
          <w:p w14:paraId="06256F0D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758EC" w:rsidRPr="00F758EC" w14:paraId="63060095" w14:textId="77777777" w:rsidTr="00F758EC">
        <w:tc>
          <w:tcPr>
            <w:tcW w:w="7401" w:type="dxa"/>
            <w:shd w:val="clear" w:color="auto" w:fill="auto"/>
          </w:tcPr>
          <w:p w14:paraId="46A0E19A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  <w:t>East Sussex Secondary Academy Schools</w:t>
            </w:r>
          </w:p>
        </w:tc>
        <w:tc>
          <w:tcPr>
            <w:tcW w:w="1275" w:type="dxa"/>
            <w:shd w:val="clear" w:color="auto" w:fill="auto"/>
          </w:tcPr>
          <w:p w14:paraId="24FB9A14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£110.00</w:t>
            </w:r>
          </w:p>
        </w:tc>
        <w:tc>
          <w:tcPr>
            <w:tcW w:w="1276" w:type="dxa"/>
            <w:shd w:val="clear" w:color="auto" w:fill="auto"/>
          </w:tcPr>
          <w:p w14:paraId="6352AF87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£55.00</w:t>
            </w:r>
          </w:p>
          <w:p w14:paraId="7624CC12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758EC" w:rsidRPr="00F758EC" w14:paraId="36A469BC" w14:textId="77777777" w:rsidTr="00F758EC">
        <w:tc>
          <w:tcPr>
            <w:tcW w:w="7401" w:type="dxa"/>
            <w:shd w:val="clear" w:color="auto" w:fill="auto"/>
          </w:tcPr>
          <w:p w14:paraId="785144E5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  <w:t>Other Organisations</w:t>
            </w:r>
          </w:p>
          <w:p w14:paraId="60CCED31" w14:textId="77777777" w:rsidR="00F758EC" w:rsidRPr="00F758EC" w:rsidRDefault="00F758EC" w:rsidP="0043466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Large child/adult focussed charities working in East Sussex</w:t>
            </w:r>
          </w:p>
          <w:p w14:paraId="30B44F23" w14:textId="77777777" w:rsidR="00F758EC" w:rsidRPr="00F758EC" w:rsidRDefault="00F758EC" w:rsidP="0043466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Private or public local organisation</w:t>
            </w:r>
          </w:p>
          <w:p w14:paraId="104CBF7E" w14:textId="77777777" w:rsidR="00F758EC" w:rsidRPr="00F758EC" w:rsidRDefault="00F758EC" w:rsidP="002420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 xml:space="preserve">Other Local Authorities </w:t>
            </w:r>
          </w:p>
        </w:tc>
        <w:tc>
          <w:tcPr>
            <w:tcW w:w="1275" w:type="dxa"/>
            <w:shd w:val="clear" w:color="auto" w:fill="auto"/>
          </w:tcPr>
          <w:p w14:paraId="6B5B0D14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</w:p>
          <w:p w14:paraId="1F119CF9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£110.00</w:t>
            </w:r>
          </w:p>
        </w:tc>
        <w:tc>
          <w:tcPr>
            <w:tcW w:w="1276" w:type="dxa"/>
            <w:shd w:val="clear" w:color="auto" w:fill="auto"/>
          </w:tcPr>
          <w:p w14:paraId="01BFB4BB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</w:p>
          <w:p w14:paraId="32852D38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£55.00</w:t>
            </w:r>
          </w:p>
          <w:p w14:paraId="3A249B88" w14:textId="77777777" w:rsidR="00F758EC" w:rsidRPr="00F758EC" w:rsidRDefault="00F758EC" w:rsidP="0043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77CF974" w14:textId="40D57CF9" w:rsidR="00F758EC" w:rsidRPr="00F758EC" w:rsidRDefault="00F758EC" w:rsidP="00F758E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  <w:lang w:eastAsia="en-GB"/>
        </w:rPr>
      </w:pPr>
    </w:p>
    <w:p w14:paraId="5C790FB6" w14:textId="407AC49C" w:rsidR="00636104" w:rsidRPr="00F758EC" w:rsidRDefault="00F758EC" w:rsidP="00F758E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i/>
          <w:iCs/>
          <w:color w:val="000000"/>
          <w:sz w:val="24"/>
          <w:szCs w:val="24"/>
          <w:lang w:eastAsia="en-GB"/>
        </w:rPr>
      </w:pPr>
      <w:r w:rsidRPr="00F758EC">
        <w:rPr>
          <w:rFonts w:ascii="Trebuchet MS" w:hAnsi="Trebuchet MS" w:cs="Arial"/>
          <w:i/>
          <w:iCs/>
          <w:color w:val="000000"/>
          <w:sz w:val="24"/>
          <w:szCs w:val="24"/>
          <w:lang w:eastAsia="en-GB"/>
        </w:rPr>
        <w:t>*Charges per person / per training day. Training Pool members can access a pre-agreed number of free training days, as agreed with the Training &amp; Development Consultant.</w:t>
      </w:r>
    </w:p>
    <w:p w14:paraId="2B5C9EB9" w14:textId="77777777" w:rsidR="00D274E0" w:rsidRPr="00F758EC" w:rsidRDefault="00D274E0" w:rsidP="0063610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i/>
          <w:iCs/>
          <w:color w:val="0000FF"/>
          <w:sz w:val="24"/>
          <w:szCs w:val="24"/>
          <w:lang w:eastAsia="en-GB"/>
        </w:rPr>
      </w:pPr>
    </w:p>
    <w:p w14:paraId="1B41DE60" w14:textId="77777777" w:rsidR="00636104" w:rsidRPr="00F758EC" w:rsidRDefault="00636104" w:rsidP="0063610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0000FF"/>
          <w:sz w:val="24"/>
          <w:szCs w:val="24"/>
          <w:lang w:eastAsia="en-GB"/>
        </w:rPr>
      </w:pPr>
      <w:r w:rsidRPr="00F758EC">
        <w:rPr>
          <w:rFonts w:ascii="Trebuchet MS" w:hAnsi="Trebuchet MS" w:cs="Arial"/>
          <w:b/>
          <w:bCs/>
          <w:color w:val="0000FF"/>
          <w:sz w:val="24"/>
          <w:szCs w:val="24"/>
          <w:lang w:eastAsia="en-GB"/>
        </w:rPr>
        <w:t>The tutor will hold the right to turn away delegates who have not completed the</w:t>
      </w:r>
      <w:r w:rsidR="00D274E0" w:rsidRPr="00F758EC">
        <w:rPr>
          <w:rFonts w:ascii="Trebuchet MS" w:hAnsi="Trebuchet MS" w:cs="Arial"/>
          <w:b/>
          <w:bCs/>
          <w:color w:val="0000FF"/>
          <w:sz w:val="24"/>
          <w:szCs w:val="24"/>
          <w:lang w:eastAsia="en-GB"/>
        </w:rPr>
        <w:t xml:space="preserve"> </w:t>
      </w:r>
      <w:r w:rsidRPr="00F758EC">
        <w:rPr>
          <w:rFonts w:ascii="Trebuchet MS" w:hAnsi="Trebuchet MS" w:cs="Arial"/>
          <w:b/>
          <w:bCs/>
          <w:color w:val="0000FF"/>
          <w:sz w:val="24"/>
          <w:szCs w:val="24"/>
          <w:lang w:eastAsia="en-GB"/>
        </w:rPr>
        <w:t>training pre requirements detailed in the course flyer and booking confirmation</w:t>
      </w:r>
      <w:r w:rsidR="00D274E0" w:rsidRPr="00F758EC">
        <w:rPr>
          <w:rFonts w:ascii="Trebuchet MS" w:hAnsi="Trebuchet MS" w:cs="Arial"/>
          <w:b/>
          <w:bCs/>
          <w:color w:val="0000FF"/>
          <w:sz w:val="24"/>
          <w:szCs w:val="24"/>
          <w:lang w:eastAsia="en-GB"/>
        </w:rPr>
        <w:t xml:space="preserve"> </w:t>
      </w:r>
      <w:r w:rsidRPr="00F758EC">
        <w:rPr>
          <w:rFonts w:ascii="Trebuchet MS" w:hAnsi="Trebuchet MS" w:cs="Arial"/>
          <w:b/>
          <w:bCs/>
          <w:color w:val="0000FF"/>
          <w:sz w:val="24"/>
          <w:szCs w:val="24"/>
          <w:lang w:eastAsia="en-GB"/>
        </w:rPr>
        <w:t>email. There will also be a charge levied.</w:t>
      </w:r>
    </w:p>
    <w:p w14:paraId="48FCC112" w14:textId="77777777" w:rsidR="00D274E0" w:rsidRPr="00F758EC" w:rsidRDefault="00D274E0" w:rsidP="0063610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000000"/>
          <w:sz w:val="24"/>
          <w:szCs w:val="24"/>
          <w:lang w:eastAsia="en-GB"/>
        </w:rPr>
      </w:pPr>
    </w:p>
    <w:p w14:paraId="0211CCE3" w14:textId="77777777" w:rsidR="00F758EC" w:rsidRPr="00F758EC" w:rsidRDefault="00F758EC" w:rsidP="00F758E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000000"/>
          <w:sz w:val="24"/>
          <w:szCs w:val="24"/>
          <w:u w:val="single"/>
          <w:lang w:eastAsia="en-GB"/>
        </w:rPr>
      </w:pPr>
      <w:r w:rsidRPr="00F758EC">
        <w:rPr>
          <w:rFonts w:ascii="Trebuchet MS" w:hAnsi="Trebuchet MS" w:cs="Arial"/>
          <w:b/>
          <w:bCs/>
          <w:color w:val="000000"/>
          <w:sz w:val="24"/>
          <w:szCs w:val="24"/>
          <w:u w:val="single"/>
          <w:lang w:eastAsia="en-GB"/>
        </w:rPr>
        <w:t>Charges for Cancellation or non-attendance</w:t>
      </w:r>
    </w:p>
    <w:p w14:paraId="7FEDE2EC" w14:textId="77777777" w:rsidR="00F758EC" w:rsidRPr="00F758EC" w:rsidRDefault="00F758EC" w:rsidP="00F758E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000000"/>
          <w:sz w:val="24"/>
          <w:szCs w:val="24"/>
          <w:u w:val="single"/>
          <w:lang w:eastAsia="en-GB"/>
        </w:rPr>
      </w:pPr>
    </w:p>
    <w:p w14:paraId="64277C5C" w14:textId="77777777" w:rsidR="00F758EC" w:rsidRPr="00F758EC" w:rsidRDefault="00F758EC" w:rsidP="00F758E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  <w:lang w:eastAsia="en-GB"/>
        </w:rPr>
      </w:pPr>
      <w:r w:rsidRPr="00F758EC">
        <w:rPr>
          <w:rFonts w:ascii="Trebuchet MS" w:hAnsi="Trebuchet MS" w:cs="Arial"/>
          <w:color w:val="000000"/>
          <w:sz w:val="24"/>
          <w:szCs w:val="24"/>
          <w:lang w:eastAsia="en-GB"/>
        </w:rPr>
        <w:t>Cancellations made after course is closed (two weeks before course date) will incur a charge as detailed in the table below. These charges apply to all agencies. If another appropriate member of staff from the same team/service can be substituted, then this charge would not be applicable.</w:t>
      </w:r>
    </w:p>
    <w:p w14:paraId="59DAB34E" w14:textId="77777777" w:rsidR="00F758EC" w:rsidRPr="00F758EC" w:rsidRDefault="00F758EC" w:rsidP="00F758E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  <w:lang w:eastAsia="en-GB"/>
        </w:rPr>
      </w:pPr>
    </w:p>
    <w:tbl>
      <w:tblPr>
        <w:tblW w:w="8922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1840"/>
        <w:gridCol w:w="1840"/>
        <w:gridCol w:w="1822"/>
      </w:tblGrid>
      <w:tr w:rsidR="00F758EC" w:rsidRPr="00F758EC" w14:paraId="08C41E22" w14:textId="77777777" w:rsidTr="00AA40F1">
        <w:trPr>
          <w:trHeight w:val="341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DA807" w14:textId="77777777" w:rsidR="00F758EC" w:rsidRPr="00F758EC" w:rsidRDefault="00F758EC" w:rsidP="00F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3F594" w14:textId="77777777" w:rsidR="00F758EC" w:rsidRPr="00F758EC" w:rsidRDefault="00F758EC" w:rsidP="00F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  <w:t>Late cancellation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0EADC" w14:textId="77777777" w:rsidR="00F758EC" w:rsidRPr="00F758EC" w:rsidRDefault="00F758EC" w:rsidP="00F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  <w:t>Late cancellation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EC753" w14:textId="77777777" w:rsidR="00F758EC" w:rsidRPr="00F758EC" w:rsidRDefault="00F758EC" w:rsidP="00F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  <w:t>Non-attendance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186FC" w14:textId="77777777" w:rsidR="00F758EC" w:rsidRPr="00F758EC" w:rsidRDefault="00F758EC" w:rsidP="00F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  <w:lang w:eastAsia="en-GB"/>
              </w:rPr>
              <w:t>Non-attendance</w:t>
            </w:r>
          </w:p>
        </w:tc>
      </w:tr>
      <w:tr w:rsidR="00F758EC" w:rsidRPr="00F758EC" w14:paraId="2DB8779F" w14:textId="77777777" w:rsidTr="00AA40F1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4B4BF" w14:textId="77777777" w:rsidR="00F758EC" w:rsidRPr="00F758EC" w:rsidRDefault="00F758EC" w:rsidP="00F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6FEA5" w14:textId="77777777" w:rsidR="00F758EC" w:rsidRPr="00F758EC" w:rsidRDefault="00F758EC" w:rsidP="00F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half 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3D210" w14:textId="77777777" w:rsidR="00F758EC" w:rsidRPr="00F758EC" w:rsidRDefault="00F758EC" w:rsidP="00F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full day (over 4 hrs)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E8CA7" w14:textId="77777777" w:rsidR="00F758EC" w:rsidRPr="00F758EC" w:rsidRDefault="00F758EC" w:rsidP="00F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half day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6982B" w14:textId="77777777" w:rsidR="00F758EC" w:rsidRPr="00F758EC" w:rsidRDefault="00F758EC" w:rsidP="00F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full day (over 4 hrs)</w:t>
            </w:r>
          </w:p>
        </w:tc>
      </w:tr>
      <w:tr w:rsidR="00F758EC" w:rsidRPr="00F758EC" w14:paraId="6B27265D" w14:textId="77777777" w:rsidTr="00AA40F1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1EBFA" w14:textId="77777777" w:rsidR="00F758EC" w:rsidRPr="00F758EC" w:rsidRDefault="00F758EC" w:rsidP="00F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Virtual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687CC" w14:textId="77777777" w:rsidR="00F758EC" w:rsidRPr="00F758EC" w:rsidRDefault="00F758EC" w:rsidP="00F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£25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47CDE" w14:textId="77777777" w:rsidR="00F758EC" w:rsidRPr="00F758EC" w:rsidRDefault="00F758EC" w:rsidP="00F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£45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72FBB" w14:textId="77777777" w:rsidR="00F758EC" w:rsidRPr="00F758EC" w:rsidRDefault="00F758EC" w:rsidP="00F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F0607" w14:textId="77777777" w:rsidR="00F758EC" w:rsidRPr="00F758EC" w:rsidRDefault="00F758EC" w:rsidP="00F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£50</w:t>
            </w:r>
          </w:p>
        </w:tc>
      </w:tr>
      <w:tr w:rsidR="00F758EC" w:rsidRPr="00F758EC" w14:paraId="02D65980" w14:textId="77777777" w:rsidTr="00AA40F1">
        <w:trPr>
          <w:trHeight w:val="28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7A63C" w14:textId="77777777" w:rsidR="00F758EC" w:rsidRPr="00F758EC" w:rsidRDefault="00F758EC" w:rsidP="00F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classroom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12DBA" w14:textId="77777777" w:rsidR="00F758EC" w:rsidRPr="00F758EC" w:rsidRDefault="00F758EC" w:rsidP="00F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£45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421EB" w14:textId="77777777" w:rsidR="00F758EC" w:rsidRPr="00F758EC" w:rsidRDefault="00F758EC" w:rsidP="00F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£70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61D0C" w14:textId="77777777" w:rsidR="00F758EC" w:rsidRPr="00F758EC" w:rsidRDefault="00F758EC" w:rsidP="00F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£50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525C1" w14:textId="77777777" w:rsidR="00F758EC" w:rsidRPr="00F758EC" w:rsidRDefault="00F758EC" w:rsidP="00F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</w:pPr>
            <w:r w:rsidRPr="00F758EC">
              <w:rPr>
                <w:rFonts w:ascii="Trebuchet MS" w:hAnsi="Trebuchet MS" w:cs="Arial"/>
                <w:color w:val="000000"/>
                <w:sz w:val="24"/>
                <w:szCs w:val="24"/>
                <w:lang w:eastAsia="en-GB"/>
              </w:rPr>
              <w:t>£75</w:t>
            </w:r>
          </w:p>
        </w:tc>
      </w:tr>
    </w:tbl>
    <w:p w14:paraId="7C38F621" w14:textId="77777777" w:rsidR="00E45CB9" w:rsidRPr="00F758EC" w:rsidRDefault="00E45CB9" w:rsidP="0063610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000000"/>
          <w:sz w:val="24"/>
          <w:szCs w:val="24"/>
          <w:u w:val="single"/>
          <w:lang w:eastAsia="en-GB"/>
        </w:rPr>
      </w:pPr>
    </w:p>
    <w:p w14:paraId="026D9683" w14:textId="77777777" w:rsidR="00E45CB9" w:rsidRPr="00F758EC" w:rsidRDefault="00E45CB9" w:rsidP="00E45CB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4"/>
          <w:szCs w:val="24"/>
          <w:lang w:eastAsia="en-GB"/>
        </w:rPr>
      </w:pPr>
    </w:p>
    <w:p w14:paraId="4133C8BA" w14:textId="5D19FF4D" w:rsidR="00E45CB9" w:rsidRPr="00F758EC" w:rsidRDefault="00E45CB9" w:rsidP="00E45CB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F758EC">
        <w:rPr>
          <w:rFonts w:ascii="Trebuchet MS" w:hAnsi="Trebuchet MS" w:cs="Arial"/>
          <w:color w:val="000000"/>
          <w:sz w:val="24"/>
          <w:szCs w:val="24"/>
          <w:lang w:eastAsia="en-GB"/>
        </w:rPr>
        <w:t>F</w:t>
      </w:r>
      <w:r w:rsidR="00636104" w:rsidRPr="00F758EC">
        <w:rPr>
          <w:rFonts w:ascii="Trebuchet MS" w:hAnsi="Trebuchet MS" w:cs="Arial"/>
          <w:color w:val="000000"/>
          <w:sz w:val="24"/>
          <w:szCs w:val="24"/>
          <w:lang w:eastAsia="en-GB"/>
        </w:rPr>
        <w:t xml:space="preserve">or any other queries about </w:t>
      </w:r>
      <w:r w:rsidR="0072292C" w:rsidRPr="00F758EC">
        <w:rPr>
          <w:rFonts w:ascii="Trebuchet MS" w:hAnsi="Trebuchet MS" w:cs="Arial"/>
          <w:color w:val="000000"/>
          <w:sz w:val="24"/>
          <w:szCs w:val="24"/>
          <w:lang w:eastAsia="en-GB"/>
        </w:rPr>
        <w:t>ESSCP</w:t>
      </w:r>
      <w:r w:rsidR="00636104" w:rsidRPr="00F758EC">
        <w:rPr>
          <w:rFonts w:ascii="Trebuchet MS" w:hAnsi="Trebuchet MS" w:cs="Arial"/>
          <w:color w:val="000000"/>
          <w:sz w:val="24"/>
          <w:szCs w:val="24"/>
          <w:lang w:eastAsia="en-GB"/>
        </w:rPr>
        <w:t xml:space="preserve"> Training, please contact Giovanna Simpson,</w:t>
      </w:r>
      <w:r w:rsidRPr="00F758EC">
        <w:rPr>
          <w:rFonts w:ascii="Trebuchet MS" w:hAnsi="Trebuchet MS" w:cs="Arial"/>
          <w:color w:val="000000"/>
          <w:sz w:val="24"/>
          <w:szCs w:val="24"/>
          <w:lang w:eastAsia="en-GB"/>
        </w:rPr>
        <w:t xml:space="preserve"> </w:t>
      </w:r>
      <w:r w:rsidR="0072292C" w:rsidRPr="00F758EC">
        <w:rPr>
          <w:rFonts w:ascii="Trebuchet MS" w:hAnsi="Trebuchet MS" w:cs="Arial"/>
          <w:color w:val="000000"/>
          <w:sz w:val="24"/>
          <w:szCs w:val="24"/>
          <w:lang w:eastAsia="en-GB"/>
        </w:rPr>
        <w:t>ESSCP</w:t>
      </w:r>
      <w:r w:rsidR="00636104" w:rsidRPr="00F758EC">
        <w:rPr>
          <w:rFonts w:ascii="Trebuchet MS" w:hAnsi="Trebuchet MS" w:cs="Arial"/>
          <w:color w:val="000000"/>
          <w:sz w:val="24"/>
          <w:szCs w:val="24"/>
          <w:lang w:eastAsia="en-GB"/>
        </w:rPr>
        <w:t xml:space="preserve"> Training and Development Consultant on</w:t>
      </w:r>
      <w:r w:rsidRPr="00F758EC">
        <w:rPr>
          <w:rFonts w:ascii="Trebuchet MS" w:hAnsi="Trebuchet MS" w:cs="Arial"/>
          <w:color w:val="000000"/>
          <w:sz w:val="24"/>
          <w:szCs w:val="24"/>
          <w:lang w:eastAsia="en-GB"/>
        </w:rPr>
        <w:t xml:space="preserve"> </w:t>
      </w:r>
      <w:hyperlink r:id="rId11" w:history="1">
        <w:r w:rsidRPr="00F758EC">
          <w:rPr>
            <w:rStyle w:val="Hyperlink"/>
            <w:rFonts w:ascii="Trebuchet MS" w:hAnsi="Trebuchet MS" w:cs="Arial"/>
            <w:sz w:val="24"/>
            <w:szCs w:val="24"/>
            <w:lang w:eastAsia="en-GB"/>
          </w:rPr>
          <w:t>giovanna.simpson@eastsussex.gov.uk</w:t>
        </w:r>
      </w:hyperlink>
    </w:p>
    <w:sectPr w:rsidR="00E45CB9" w:rsidRPr="00F758EC" w:rsidSect="00E45CB9">
      <w:pgSz w:w="11906" w:h="16838"/>
      <w:pgMar w:top="720" w:right="1418" w:bottom="720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27B"/>
    <w:multiLevelType w:val="hybridMultilevel"/>
    <w:tmpl w:val="36FA6AF6"/>
    <w:lvl w:ilvl="0" w:tplc="6E6A3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01FA"/>
    <w:multiLevelType w:val="hybridMultilevel"/>
    <w:tmpl w:val="2726279A"/>
    <w:lvl w:ilvl="0" w:tplc="6E6A3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B1179"/>
    <w:multiLevelType w:val="hybridMultilevel"/>
    <w:tmpl w:val="E6749434"/>
    <w:lvl w:ilvl="0" w:tplc="6E6A3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96835"/>
    <w:multiLevelType w:val="hybridMultilevel"/>
    <w:tmpl w:val="18DE859E"/>
    <w:lvl w:ilvl="0" w:tplc="6E6A3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901AE"/>
    <w:multiLevelType w:val="hybridMultilevel"/>
    <w:tmpl w:val="448E737C"/>
    <w:lvl w:ilvl="0" w:tplc="6E6A3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1C6E"/>
    <w:multiLevelType w:val="hybridMultilevel"/>
    <w:tmpl w:val="D4209086"/>
    <w:lvl w:ilvl="0" w:tplc="6E6A3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A2506"/>
    <w:multiLevelType w:val="hybridMultilevel"/>
    <w:tmpl w:val="9ED4C2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123834">
    <w:abstractNumId w:val="5"/>
  </w:num>
  <w:num w:numId="2" w16cid:durableId="1355301100">
    <w:abstractNumId w:val="3"/>
  </w:num>
  <w:num w:numId="3" w16cid:durableId="1012950411">
    <w:abstractNumId w:val="1"/>
  </w:num>
  <w:num w:numId="4" w16cid:durableId="420107503">
    <w:abstractNumId w:val="0"/>
  </w:num>
  <w:num w:numId="5" w16cid:durableId="16589716">
    <w:abstractNumId w:val="4"/>
  </w:num>
  <w:num w:numId="6" w16cid:durableId="2041735685">
    <w:abstractNumId w:val="2"/>
  </w:num>
  <w:num w:numId="7" w16cid:durableId="13732689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04"/>
    <w:rsid w:val="000001F9"/>
    <w:rsid w:val="0016627D"/>
    <w:rsid w:val="002420FA"/>
    <w:rsid w:val="003A7F30"/>
    <w:rsid w:val="003F7420"/>
    <w:rsid w:val="00434665"/>
    <w:rsid w:val="004A2281"/>
    <w:rsid w:val="006064C2"/>
    <w:rsid w:val="00616176"/>
    <w:rsid w:val="00616DDC"/>
    <w:rsid w:val="00636104"/>
    <w:rsid w:val="006A383D"/>
    <w:rsid w:val="006D6DA9"/>
    <w:rsid w:val="0072292C"/>
    <w:rsid w:val="00726B65"/>
    <w:rsid w:val="00762882"/>
    <w:rsid w:val="00791026"/>
    <w:rsid w:val="007F7843"/>
    <w:rsid w:val="009476D0"/>
    <w:rsid w:val="00954815"/>
    <w:rsid w:val="009C47EF"/>
    <w:rsid w:val="00A24046"/>
    <w:rsid w:val="00A30D65"/>
    <w:rsid w:val="00A801A8"/>
    <w:rsid w:val="00AA7501"/>
    <w:rsid w:val="00B634F7"/>
    <w:rsid w:val="00BD04BA"/>
    <w:rsid w:val="00C5282B"/>
    <w:rsid w:val="00D274E0"/>
    <w:rsid w:val="00DF3272"/>
    <w:rsid w:val="00E217FE"/>
    <w:rsid w:val="00E45CB9"/>
    <w:rsid w:val="00EA6F29"/>
    <w:rsid w:val="00EB6574"/>
    <w:rsid w:val="00F758EC"/>
    <w:rsid w:val="00F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D451"/>
  <w15:docId w15:val="{C67D5D81-D2EC-4D77-816F-2D98F1E2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5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giovanna.simpson@eastsussex.gov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691f71b9-b64f-4844-8bf8-0e85b55a74e6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008C6CB39EC45B55D9F92AA931EA3" ma:contentTypeVersion="2" ma:contentTypeDescription="Create a new document." ma:contentTypeScope="" ma:versionID="d2df16310fe940aa66fbd686b61e83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e51bdc091096f890ccebc0f9bb6c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A6858-A5FF-4128-864C-F0358490F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255EF5-EE5B-45B0-889A-AB9DD6EF9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28DC3-741A-4FF3-8239-14FC7688660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345B05D-E119-46C8-804C-80CC52AAE4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934045-0960-4F02-8404-A3639AD2A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1986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mailto:giovanna.simpson@eastsussex.gov.uk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Mann</dc:creator>
  <cp:lastModifiedBy>Louise MacQuire-Plows</cp:lastModifiedBy>
  <cp:revision>3</cp:revision>
  <cp:lastPrinted>2016-05-11T13:33:00Z</cp:lastPrinted>
  <dcterms:created xsi:type="dcterms:W3CDTF">2021-10-28T15:02:00Z</dcterms:created>
  <dcterms:modified xsi:type="dcterms:W3CDTF">2022-11-28T15:24:00Z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0x010100A22008C6CB39EC45B55D9F92AA931EA3</vt:lpwstr>
  </property>
</Properties>
</file>