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3900F" w14:textId="1804E616" w:rsidR="004F6F1A" w:rsidRPr="003D11CE" w:rsidRDefault="004F6F1A" w:rsidP="004F6F1A">
      <w:pPr>
        <w:spacing w:after="0" w:line="240" w:lineRule="auto"/>
        <w:rPr>
          <w:rFonts w:asciiTheme="minorHAnsi" w:eastAsiaTheme="minorEastAsia" w:hAnsiTheme="minorHAnsi" w:cstheme="minorHAnsi"/>
          <w:b/>
          <w:bCs/>
          <w:noProof/>
          <w:color w:val="FFFFFF" w:themeColor="background1"/>
          <w:sz w:val="68"/>
          <w:szCs w:val="68"/>
          <w:lang w:eastAsia="zh-CN"/>
        </w:rPr>
      </w:pPr>
      <w:r w:rsidRPr="003D11CE">
        <w:rPr>
          <w:rFonts w:asciiTheme="minorHAnsi" w:hAnsiTheme="minorHAnsi" w:cstheme="minorHAnsi"/>
          <w:b/>
          <w:bCs/>
          <w:noProof/>
          <w:color w:val="FFFFFF" w:themeColor="background1"/>
          <w:sz w:val="90"/>
          <w:szCs w:val="90"/>
          <w:lang w:eastAsia="en-GB"/>
        </w:rPr>
        <w:drawing>
          <wp:anchor distT="0" distB="0" distL="114300" distR="114300" simplePos="0" relativeHeight="251662336" behindDoc="1" locked="0" layoutInCell="1" allowOverlap="1" wp14:anchorId="0B0C5A30" wp14:editId="4367BB98">
            <wp:simplePos x="0" y="0"/>
            <wp:positionH relativeFrom="page">
              <wp:posOffset>8890</wp:posOffset>
            </wp:positionH>
            <wp:positionV relativeFrom="page">
              <wp:posOffset>24130</wp:posOffset>
            </wp:positionV>
            <wp:extent cx="7540625" cy="10666730"/>
            <wp:effectExtent l="0" t="0" r="3175" b="1270"/>
            <wp:wrapNone/>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40625" cy="10666730"/>
                    </a:xfrm>
                    <a:prstGeom prst="rect">
                      <a:avLst/>
                    </a:prstGeom>
                  </pic:spPr>
                </pic:pic>
              </a:graphicData>
            </a:graphic>
            <wp14:sizeRelH relativeFrom="margin">
              <wp14:pctWidth>0</wp14:pctWidth>
            </wp14:sizeRelH>
            <wp14:sizeRelV relativeFrom="margin">
              <wp14:pctHeight>0</wp14:pctHeight>
            </wp14:sizeRelV>
          </wp:anchor>
        </w:drawing>
      </w:r>
    </w:p>
    <w:p w14:paraId="2C425609" w14:textId="77777777" w:rsidR="004F6F1A" w:rsidRPr="003D11CE" w:rsidRDefault="004F6F1A" w:rsidP="004F6F1A">
      <w:pPr>
        <w:spacing w:after="0" w:line="240" w:lineRule="auto"/>
        <w:rPr>
          <w:rFonts w:asciiTheme="minorHAnsi" w:eastAsiaTheme="minorEastAsia" w:hAnsiTheme="minorHAnsi" w:cstheme="minorHAnsi"/>
          <w:b/>
          <w:bCs/>
          <w:noProof/>
          <w:color w:val="FFFFFF" w:themeColor="background1"/>
          <w:sz w:val="68"/>
          <w:szCs w:val="68"/>
          <w:lang w:eastAsia="zh-CN"/>
        </w:rPr>
      </w:pPr>
    </w:p>
    <w:p w14:paraId="6C230A94" w14:textId="77777777" w:rsidR="004F6F1A" w:rsidRPr="003D11CE" w:rsidRDefault="004F6F1A" w:rsidP="004F6F1A">
      <w:pPr>
        <w:spacing w:after="0" w:line="240" w:lineRule="auto"/>
        <w:rPr>
          <w:rFonts w:asciiTheme="minorHAnsi" w:eastAsiaTheme="minorEastAsia" w:hAnsiTheme="minorHAnsi" w:cstheme="minorHAnsi"/>
          <w:b/>
          <w:bCs/>
          <w:noProof/>
          <w:color w:val="FFFFFF" w:themeColor="background1"/>
          <w:sz w:val="68"/>
          <w:szCs w:val="68"/>
          <w:lang w:eastAsia="zh-CN"/>
        </w:rPr>
      </w:pPr>
    </w:p>
    <w:p w14:paraId="67E5F8F2" w14:textId="77777777" w:rsidR="004F6F1A" w:rsidRPr="003D11CE" w:rsidRDefault="004F6F1A" w:rsidP="004F6F1A">
      <w:pPr>
        <w:spacing w:after="0" w:line="240" w:lineRule="auto"/>
        <w:rPr>
          <w:rFonts w:asciiTheme="minorHAnsi" w:eastAsiaTheme="minorEastAsia" w:hAnsiTheme="minorHAnsi" w:cstheme="minorHAnsi"/>
          <w:b/>
          <w:bCs/>
          <w:noProof/>
          <w:color w:val="FFFFFF" w:themeColor="background1"/>
          <w:sz w:val="68"/>
          <w:szCs w:val="68"/>
          <w:lang w:eastAsia="zh-CN"/>
        </w:rPr>
      </w:pPr>
    </w:p>
    <w:p w14:paraId="2B7B0D54" w14:textId="77777777" w:rsidR="004F6F1A" w:rsidRPr="003D11CE" w:rsidRDefault="004F6F1A" w:rsidP="004F6F1A">
      <w:pPr>
        <w:spacing w:after="0" w:line="240" w:lineRule="auto"/>
        <w:rPr>
          <w:rFonts w:asciiTheme="minorHAnsi" w:eastAsiaTheme="minorEastAsia" w:hAnsiTheme="minorHAnsi" w:cstheme="minorHAnsi"/>
          <w:b/>
          <w:bCs/>
          <w:noProof/>
          <w:color w:val="FFFFFF" w:themeColor="background1"/>
          <w:sz w:val="68"/>
          <w:szCs w:val="68"/>
          <w:lang w:eastAsia="zh-CN"/>
        </w:rPr>
      </w:pPr>
    </w:p>
    <w:p w14:paraId="663D3B9D" w14:textId="77777777" w:rsidR="004F6F1A" w:rsidRPr="003D11CE" w:rsidRDefault="004F6F1A" w:rsidP="004F6F1A">
      <w:pPr>
        <w:spacing w:after="0" w:line="240" w:lineRule="auto"/>
        <w:rPr>
          <w:rFonts w:asciiTheme="minorHAnsi" w:eastAsiaTheme="minorEastAsia" w:hAnsiTheme="minorHAnsi" w:cstheme="minorHAnsi"/>
          <w:b/>
          <w:bCs/>
          <w:noProof/>
          <w:color w:val="FFFFFF" w:themeColor="background1"/>
          <w:sz w:val="68"/>
          <w:szCs w:val="68"/>
          <w:lang w:eastAsia="zh-CN"/>
        </w:rPr>
      </w:pPr>
    </w:p>
    <w:p w14:paraId="5E0B0D40" w14:textId="77777777" w:rsidR="004F6F1A" w:rsidRPr="003D11CE" w:rsidRDefault="004F6F1A" w:rsidP="004F6F1A">
      <w:pPr>
        <w:spacing w:after="0" w:line="240" w:lineRule="auto"/>
        <w:rPr>
          <w:rFonts w:asciiTheme="minorHAnsi" w:eastAsiaTheme="minorEastAsia" w:hAnsiTheme="minorHAnsi" w:cstheme="minorHAnsi"/>
          <w:b/>
          <w:bCs/>
          <w:noProof/>
          <w:color w:val="FFFFFF" w:themeColor="background1"/>
          <w:sz w:val="68"/>
          <w:szCs w:val="68"/>
          <w:lang w:eastAsia="zh-CN"/>
        </w:rPr>
      </w:pPr>
    </w:p>
    <w:p w14:paraId="686C0EE0" w14:textId="77777777" w:rsidR="004F6F1A" w:rsidRPr="003D11CE" w:rsidRDefault="004F6F1A" w:rsidP="004F6F1A">
      <w:pPr>
        <w:spacing w:after="0" w:line="240" w:lineRule="auto"/>
        <w:rPr>
          <w:rFonts w:asciiTheme="minorHAnsi" w:eastAsiaTheme="minorEastAsia" w:hAnsiTheme="minorHAnsi" w:cstheme="minorHAnsi"/>
          <w:b/>
          <w:bCs/>
          <w:color w:val="FFFFFF" w:themeColor="background1"/>
          <w:sz w:val="72"/>
          <w:szCs w:val="72"/>
          <w:lang w:eastAsia="zh-CN"/>
        </w:rPr>
      </w:pPr>
      <w:r w:rsidRPr="003D11CE">
        <w:rPr>
          <w:rFonts w:asciiTheme="minorHAnsi" w:eastAsiaTheme="minorEastAsia" w:hAnsiTheme="minorHAnsi" w:cstheme="minorHAnsi"/>
          <w:b/>
          <w:bCs/>
          <w:color w:val="FFFFFF" w:themeColor="background1"/>
          <w:sz w:val="72"/>
          <w:szCs w:val="72"/>
          <w:lang w:eastAsia="zh-CN"/>
        </w:rPr>
        <w:t>Child V Serious Case Review</w:t>
      </w:r>
    </w:p>
    <w:p w14:paraId="07B36DF9" w14:textId="433A5117" w:rsidR="004F6F1A" w:rsidRPr="003D11CE" w:rsidRDefault="004F6F1A" w:rsidP="004F6F1A">
      <w:pPr>
        <w:spacing w:after="0" w:line="240" w:lineRule="auto"/>
        <w:rPr>
          <w:rFonts w:asciiTheme="minorHAnsi" w:eastAsiaTheme="minorEastAsia" w:hAnsiTheme="minorHAnsi" w:cstheme="minorHAnsi"/>
          <w:b/>
          <w:bCs/>
          <w:color w:val="FFFFFF" w:themeColor="background1"/>
          <w:sz w:val="72"/>
          <w:szCs w:val="72"/>
          <w:lang w:eastAsia="zh-CN"/>
        </w:rPr>
      </w:pPr>
      <w:r w:rsidRPr="003D11CE">
        <w:rPr>
          <w:rFonts w:asciiTheme="minorHAnsi" w:eastAsiaTheme="minorEastAsia" w:hAnsiTheme="minorHAnsi" w:cstheme="minorHAnsi"/>
          <w:b/>
          <w:bCs/>
          <w:color w:val="FFFFFF" w:themeColor="background1"/>
          <w:sz w:val="72"/>
          <w:szCs w:val="72"/>
          <w:lang w:eastAsia="zh-CN"/>
        </w:rPr>
        <w:t xml:space="preserve">Addendum  </w:t>
      </w:r>
    </w:p>
    <w:p w14:paraId="41AE1166" w14:textId="77777777" w:rsidR="004F6F1A" w:rsidRPr="003D11CE" w:rsidRDefault="004F6F1A" w:rsidP="004F6F1A">
      <w:pPr>
        <w:spacing w:after="0" w:line="240" w:lineRule="auto"/>
        <w:rPr>
          <w:rFonts w:asciiTheme="minorHAnsi" w:eastAsiaTheme="minorEastAsia" w:hAnsiTheme="minorHAnsi" w:cstheme="minorHAnsi"/>
          <w:b/>
          <w:bCs/>
          <w:color w:val="FFFFFF" w:themeColor="background1"/>
          <w:sz w:val="72"/>
          <w:szCs w:val="72"/>
          <w:lang w:eastAsia="zh-CN"/>
        </w:rPr>
      </w:pPr>
    </w:p>
    <w:p w14:paraId="3C43AB38" w14:textId="18403DF9" w:rsidR="004F6F1A" w:rsidRPr="003D11CE" w:rsidRDefault="00D91FB6" w:rsidP="004F6F1A">
      <w:pPr>
        <w:spacing w:after="0" w:line="240" w:lineRule="auto"/>
        <w:rPr>
          <w:rFonts w:asciiTheme="minorHAnsi" w:eastAsiaTheme="minorEastAsia" w:hAnsiTheme="minorHAnsi" w:cstheme="minorHAnsi"/>
          <w:color w:val="FFFFFF" w:themeColor="background1"/>
          <w:sz w:val="52"/>
          <w:szCs w:val="52"/>
          <w:lang w:eastAsia="zh-CN"/>
        </w:rPr>
      </w:pPr>
      <w:r>
        <w:rPr>
          <w:rFonts w:asciiTheme="minorHAnsi" w:eastAsiaTheme="minorEastAsia" w:hAnsiTheme="minorHAnsi" w:cstheme="minorHAnsi"/>
          <w:color w:val="FFFFFF" w:themeColor="background1"/>
          <w:sz w:val="52"/>
          <w:szCs w:val="52"/>
          <w:lang w:eastAsia="zh-CN"/>
        </w:rPr>
        <w:t>October</w:t>
      </w:r>
      <w:r w:rsidR="004F6F1A" w:rsidRPr="003D11CE">
        <w:rPr>
          <w:rFonts w:asciiTheme="minorHAnsi" w:eastAsiaTheme="minorEastAsia" w:hAnsiTheme="minorHAnsi" w:cstheme="minorHAnsi"/>
          <w:color w:val="FFFFFF" w:themeColor="background1"/>
          <w:sz w:val="52"/>
          <w:szCs w:val="52"/>
          <w:lang w:eastAsia="zh-CN"/>
        </w:rPr>
        <w:t xml:space="preserve"> 2023</w:t>
      </w:r>
    </w:p>
    <w:p w14:paraId="10CE0756" w14:textId="08944745" w:rsidR="00F17721" w:rsidRPr="003D11CE" w:rsidRDefault="004F6F1A" w:rsidP="00F17721">
      <w:pPr>
        <w:pStyle w:val="Signature"/>
        <w:tabs>
          <w:tab w:val="center" w:pos="5040"/>
          <w:tab w:val="right" w:pos="9360"/>
        </w:tabs>
        <w:spacing w:line="276" w:lineRule="auto"/>
        <w:jc w:val="both"/>
        <w:rPr>
          <w:rFonts w:asciiTheme="minorHAnsi" w:hAnsiTheme="minorHAnsi" w:cstheme="minorHAnsi"/>
          <w:sz w:val="22"/>
          <w:szCs w:val="22"/>
        </w:rPr>
      </w:pPr>
      <w:r w:rsidRPr="003D11CE">
        <w:rPr>
          <w:rFonts w:asciiTheme="minorHAnsi" w:hAnsiTheme="minorHAnsi" w:cstheme="minorHAnsi"/>
          <w:b/>
          <w:bCs/>
          <w:noProof/>
          <w:color w:val="FFFFFF" w:themeColor="background1"/>
          <w:sz w:val="90"/>
          <w:szCs w:val="90"/>
          <w:lang w:eastAsia="en-GB"/>
        </w:rPr>
        <w:drawing>
          <wp:anchor distT="0" distB="0" distL="114300" distR="114300" simplePos="0" relativeHeight="251660288" behindDoc="1" locked="0" layoutInCell="1" allowOverlap="1" wp14:anchorId="5D4825D1" wp14:editId="64751C04">
            <wp:simplePos x="0" y="0"/>
            <wp:positionH relativeFrom="page">
              <wp:posOffset>11430</wp:posOffset>
            </wp:positionH>
            <wp:positionV relativeFrom="page">
              <wp:posOffset>26035</wp:posOffset>
            </wp:positionV>
            <wp:extent cx="7540953" cy="10666799"/>
            <wp:effectExtent l="0" t="0" r="3175" b="1270"/>
            <wp:wrapNone/>
            <wp:docPr id="4" name="Picture 4"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40953" cy="10666799"/>
                    </a:xfrm>
                    <a:prstGeom prst="rect">
                      <a:avLst/>
                    </a:prstGeom>
                  </pic:spPr>
                </pic:pic>
              </a:graphicData>
            </a:graphic>
            <wp14:sizeRelH relativeFrom="margin">
              <wp14:pctWidth>0</wp14:pctWidth>
            </wp14:sizeRelH>
            <wp14:sizeRelV relativeFrom="margin">
              <wp14:pctHeight>0</wp14:pctHeight>
            </wp14:sizeRelV>
          </wp:anchor>
        </w:drawing>
      </w:r>
    </w:p>
    <w:p w14:paraId="20AC8A89" w14:textId="661FE32C" w:rsidR="00F17721" w:rsidRPr="003D11CE" w:rsidRDefault="00F17721" w:rsidP="00F17721">
      <w:pPr>
        <w:pStyle w:val="Signature"/>
        <w:tabs>
          <w:tab w:val="center" w:pos="5040"/>
          <w:tab w:val="right" w:pos="9360"/>
        </w:tabs>
        <w:spacing w:line="276" w:lineRule="auto"/>
        <w:jc w:val="center"/>
        <w:rPr>
          <w:rFonts w:asciiTheme="minorHAnsi" w:hAnsiTheme="minorHAnsi" w:cstheme="minorHAnsi"/>
          <w:noProof/>
          <w:sz w:val="22"/>
          <w:szCs w:val="22"/>
          <w:lang w:eastAsia="en-GB"/>
        </w:rPr>
      </w:pPr>
    </w:p>
    <w:p w14:paraId="39BA2936" w14:textId="33B12489" w:rsidR="00F17721" w:rsidRPr="003D11CE" w:rsidRDefault="00F17721" w:rsidP="00F17721">
      <w:pPr>
        <w:jc w:val="center"/>
        <w:rPr>
          <w:rFonts w:asciiTheme="minorHAnsi" w:hAnsiTheme="minorHAnsi" w:cstheme="minorHAnsi"/>
          <w:b/>
          <w:sz w:val="28"/>
        </w:rPr>
      </w:pPr>
    </w:p>
    <w:p w14:paraId="06E9A6D0" w14:textId="2B5BFF07" w:rsidR="00B14AE5" w:rsidRPr="003D11CE" w:rsidRDefault="00B14AE5" w:rsidP="00F17721">
      <w:pPr>
        <w:jc w:val="center"/>
        <w:rPr>
          <w:rFonts w:asciiTheme="minorHAnsi" w:hAnsiTheme="minorHAnsi" w:cstheme="minorHAnsi"/>
          <w:b/>
          <w:sz w:val="28"/>
        </w:rPr>
      </w:pPr>
    </w:p>
    <w:p w14:paraId="2937069F" w14:textId="64360CC1" w:rsidR="004F6F1A" w:rsidRPr="003D11CE" w:rsidRDefault="004F6F1A">
      <w:pPr>
        <w:spacing w:after="160" w:line="259" w:lineRule="auto"/>
        <w:rPr>
          <w:rFonts w:asciiTheme="minorHAnsi" w:hAnsiTheme="minorHAnsi" w:cstheme="minorHAnsi"/>
          <w:b/>
          <w:sz w:val="28"/>
        </w:rPr>
      </w:pPr>
      <w:r w:rsidRPr="003D11CE">
        <w:rPr>
          <w:rFonts w:asciiTheme="minorHAnsi" w:hAnsiTheme="minorHAnsi" w:cstheme="minorHAnsi"/>
          <w:b/>
          <w:sz w:val="28"/>
        </w:rPr>
        <w:br w:type="page"/>
      </w:r>
    </w:p>
    <w:p w14:paraId="32A37F5D" w14:textId="77777777" w:rsidR="00F17721" w:rsidRDefault="00F17721" w:rsidP="00F17721">
      <w:pPr>
        <w:spacing w:after="0" w:line="240" w:lineRule="auto"/>
        <w:ind w:left="720" w:hanging="720"/>
        <w:jc w:val="both"/>
        <w:rPr>
          <w:rFonts w:asciiTheme="minorHAnsi" w:hAnsiTheme="minorHAnsi" w:cstheme="minorHAnsi"/>
        </w:rPr>
      </w:pPr>
    </w:p>
    <w:p w14:paraId="59FD51B7" w14:textId="3D34D88B" w:rsidR="003D11CE" w:rsidRPr="003D11CE" w:rsidRDefault="003D11CE" w:rsidP="00F17721">
      <w:pPr>
        <w:spacing w:after="0" w:line="240" w:lineRule="auto"/>
        <w:ind w:left="720" w:hanging="720"/>
        <w:jc w:val="both"/>
        <w:rPr>
          <w:rFonts w:asciiTheme="minorHAnsi" w:hAnsiTheme="minorHAnsi" w:cstheme="minorHAnsi"/>
          <w:b/>
          <w:bCs/>
        </w:rPr>
      </w:pPr>
      <w:r>
        <w:rPr>
          <w:rFonts w:asciiTheme="minorHAnsi" w:hAnsiTheme="minorHAnsi" w:cstheme="minorHAnsi"/>
          <w:b/>
          <w:bCs/>
        </w:rPr>
        <w:t xml:space="preserve">Background to report </w:t>
      </w:r>
    </w:p>
    <w:p w14:paraId="131A3110" w14:textId="77777777" w:rsidR="003D11CE" w:rsidRPr="003D11CE" w:rsidRDefault="003D11CE" w:rsidP="00F17721">
      <w:pPr>
        <w:spacing w:after="0" w:line="240" w:lineRule="auto"/>
        <w:ind w:left="720" w:hanging="720"/>
        <w:jc w:val="both"/>
        <w:rPr>
          <w:rFonts w:asciiTheme="minorHAnsi" w:hAnsiTheme="minorHAnsi" w:cstheme="minorHAnsi"/>
        </w:rPr>
      </w:pPr>
    </w:p>
    <w:p w14:paraId="298587D5" w14:textId="77777777" w:rsidR="003D11CE" w:rsidRDefault="00F17721" w:rsidP="003D11CE">
      <w:pPr>
        <w:pStyle w:val="ListParagraph"/>
        <w:numPr>
          <w:ilvl w:val="1"/>
          <w:numId w:val="1"/>
        </w:numPr>
        <w:spacing w:after="0" w:line="240" w:lineRule="auto"/>
        <w:jc w:val="both"/>
        <w:rPr>
          <w:rFonts w:asciiTheme="minorHAnsi" w:eastAsia="Century Gothic" w:hAnsiTheme="minorHAnsi" w:cstheme="minorHAnsi"/>
        </w:rPr>
      </w:pPr>
      <w:r w:rsidRPr="003D11CE">
        <w:rPr>
          <w:rFonts w:asciiTheme="minorHAnsi" w:eastAsia="Century Gothic" w:hAnsiTheme="minorHAnsi" w:cstheme="minorHAnsi"/>
        </w:rPr>
        <w:t>The Child V Serious Case Review (SCR) was commissioned by East Sussex Local Safeguarding Children Board (LSCB) in 2018 following recommendation</w:t>
      </w:r>
      <w:r w:rsidR="00B14AE5" w:rsidRPr="003D11CE">
        <w:rPr>
          <w:rFonts w:asciiTheme="minorHAnsi" w:eastAsia="Century Gothic" w:hAnsiTheme="minorHAnsi" w:cstheme="minorHAnsi"/>
        </w:rPr>
        <w:t xml:space="preserve"> </w:t>
      </w:r>
      <w:r w:rsidRPr="003D11CE">
        <w:rPr>
          <w:rFonts w:asciiTheme="minorHAnsi" w:eastAsia="Century Gothic" w:hAnsiTheme="minorHAnsi" w:cstheme="minorHAnsi"/>
        </w:rPr>
        <w:t xml:space="preserve">to the Board’s Independent Chair that the circumstances met the criteria for </w:t>
      </w:r>
      <w:r w:rsidR="003B07C5" w:rsidRPr="003D11CE">
        <w:rPr>
          <w:rFonts w:asciiTheme="minorHAnsi" w:eastAsia="Century Gothic" w:hAnsiTheme="minorHAnsi" w:cstheme="minorHAnsi"/>
        </w:rPr>
        <w:t xml:space="preserve">a review. </w:t>
      </w:r>
    </w:p>
    <w:p w14:paraId="034A51DC" w14:textId="77777777" w:rsidR="003D11CE" w:rsidRDefault="003D11CE" w:rsidP="003D11CE">
      <w:pPr>
        <w:pStyle w:val="ListParagraph"/>
        <w:spacing w:after="0" w:line="240" w:lineRule="auto"/>
        <w:jc w:val="both"/>
        <w:rPr>
          <w:rFonts w:asciiTheme="minorHAnsi" w:eastAsia="Century Gothic" w:hAnsiTheme="minorHAnsi" w:cstheme="minorHAnsi"/>
        </w:rPr>
      </w:pPr>
    </w:p>
    <w:p w14:paraId="78804535" w14:textId="77777777" w:rsidR="003D11CE" w:rsidRDefault="00F17721" w:rsidP="003D11CE">
      <w:pPr>
        <w:pStyle w:val="ListParagraph"/>
        <w:numPr>
          <w:ilvl w:val="1"/>
          <w:numId w:val="1"/>
        </w:numPr>
        <w:spacing w:after="0" w:line="240" w:lineRule="auto"/>
        <w:jc w:val="both"/>
        <w:rPr>
          <w:rFonts w:asciiTheme="minorHAnsi" w:eastAsia="Century Gothic" w:hAnsiTheme="minorHAnsi" w:cstheme="minorHAnsi"/>
        </w:rPr>
      </w:pPr>
      <w:r w:rsidRPr="003D11CE">
        <w:rPr>
          <w:rFonts w:asciiTheme="minorHAnsi" w:eastAsia="Century Gothic" w:hAnsiTheme="minorHAnsi" w:cstheme="minorHAnsi"/>
        </w:rPr>
        <w:t xml:space="preserve">The SCR </w:t>
      </w:r>
      <w:r w:rsidR="00B14AE5" w:rsidRPr="003D11CE">
        <w:rPr>
          <w:rFonts w:asciiTheme="minorHAnsi" w:eastAsia="Century Gothic" w:hAnsiTheme="minorHAnsi" w:cstheme="minorHAnsi"/>
        </w:rPr>
        <w:t xml:space="preserve">report </w:t>
      </w:r>
      <w:r w:rsidRPr="003D11CE">
        <w:rPr>
          <w:rFonts w:asciiTheme="minorHAnsi" w:eastAsia="Century Gothic" w:hAnsiTheme="minorHAnsi" w:cstheme="minorHAnsi"/>
        </w:rPr>
        <w:t xml:space="preserve">was approved by the East Sussex LSCB at an extraordinary Board meeting in September 2019. </w:t>
      </w:r>
    </w:p>
    <w:p w14:paraId="6BEC0BAC" w14:textId="77777777" w:rsidR="003D11CE" w:rsidRPr="003D11CE" w:rsidRDefault="003D11CE" w:rsidP="003D11CE">
      <w:pPr>
        <w:pStyle w:val="ListParagraph"/>
        <w:rPr>
          <w:rFonts w:asciiTheme="minorHAnsi" w:eastAsia="Century Gothic" w:hAnsiTheme="minorHAnsi" w:cstheme="minorHAnsi"/>
        </w:rPr>
      </w:pPr>
    </w:p>
    <w:p w14:paraId="293C3792" w14:textId="6AA7F1ED" w:rsidR="003D11CE" w:rsidRDefault="00F17721" w:rsidP="003D11CE">
      <w:pPr>
        <w:pStyle w:val="ListParagraph"/>
        <w:numPr>
          <w:ilvl w:val="1"/>
          <w:numId w:val="1"/>
        </w:numPr>
        <w:spacing w:after="0" w:line="240" w:lineRule="auto"/>
        <w:jc w:val="both"/>
        <w:rPr>
          <w:rFonts w:asciiTheme="minorHAnsi" w:eastAsia="Century Gothic" w:hAnsiTheme="minorHAnsi" w:cstheme="minorHAnsi"/>
        </w:rPr>
      </w:pPr>
      <w:r w:rsidRPr="003D11CE">
        <w:rPr>
          <w:rFonts w:asciiTheme="minorHAnsi" w:eastAsia="Century Gothic" w:hAnsiTheme="minorHAnsi" w:cstheme="minorHAnsi"/>
        </w:rPr>
        <w:t>In October 2019 the East Sussex LSCB transitioned to the East Sussex Safeguarding Children Partnership</w:t>
      </w:r>
      <w:r w:rsidR="008715E2">
        <w:rPr>
          <w:rFonts w:asciiTheme="minorHAnsi" w:eastAsia="Century Gothic" w:hAnsiTheme="minorHAnsi" w:cstheme="minorHAnsi"/>
        </w:rPr>
        <w:t xml:space="preserve"> (ESSCP)</w:t>
      </w:r>
      <w:r w:rsidR="003B07C5" w:rsidRPr="003D11CE">
        <w:rPr>
          <w:rFonts w:asciiTheme="minorHAnsi" w:eastAsia="Century Gothic" w:hAnsiTheme="minorHAnsi" w:cstheme="minorHAnsi"/>
        </w:rPr>
        <w:t>,</w:t>
      </w:r>
      <w:r w:rsidRPr="003D11CE">
        <w:rPr>
          <w:rFonts w:asciiTheme="minorHAnsi" w:eastAsia="Century Gothic" w:hAnsiTheme="minorHAnsi" w:cstheme="minorHAnsi"/>
        </w:rPr>
        <w:t xml:space="preserve"> </w:t>
      </w:r>
      <w:r w:rsidR="00B14AE5" w:rsidRPr="003D11CE">
        <w:rPr>
          <w:rFonts w:asciiTheme="minorHAnsi" w:eastAsia="Century Gothic" w:hAnsiTheme="minorHAnsi" w:cstheme="minorHAnsi"/>
        </w:rPr>
        <w:t>because of</w:t>
      </w:r>
      <w:r w:rsidRPr="003D11CE">
        <w:rPr>
          <w:rFonts w:asciiTheme="minorHAnsi" w:eastAsia="Century Gothic" w:hAnsiTheme="minorHAnsi" w:cstheme="minorHAnsi"/>
        </w:rPr>
        <w:t xml:space="preserve"> the changes set out in the statutory guidance Working Together to Safeguarding Children 2018. </w:t>
      </w:r>
      <w:r w:rsidR="003B07C5" w:rsidRPr="003D11CE">
        <w:rPr>
          <w:rFonts w:asciiTheme="minorHAnsi" w:eastAsia="Century Gothic" w:hAnsiTheme="minorHAnsi" w:cstheme="minorHAnsi"/>
        </w:rPr>
        <w:t xml:space="preserve">Working Together to Safeguard Children 2018 also set out changes to how safeguarding practice reviews were conducted. </w:t>
      </w:r>
    </w:p>
    <w:p w14:paraId="062C937D" w14:textId="77777777" w:rsidR="003D11CE" w:rsidRPr="003D11CE" w:rsidRDefault="003D11CE" w:rsidP="003D11CE">
      <w:pPr>
        <w:pStyle w:val="ListParagraph"/>
        <w:rPr>
          <w:rFonts w:asciiTheme="minorHAnsi" w:eastAsia="Century Gothic" w:hAnsiTheme="minorHAnsi" w:cstheme="minorHAnsi"/>
        </w:rPr>
      </w:pPr>
    </w:p>
    <w:p w14:paraId="7E11CF66" w14:textId="46F92AFB" w:rsidR="003D11CE" w:rsidRDefault="00F17721" w:rsidP="003D11CE">
      <w:pPr>
        <w:pStyle w:val="ListParagraph"/>
        <w:numPr>
          <w:ilvl w:val="1"/>
          <w:numId w:val="1"/>
        </w:numPr>
        <w:spacing w:after="0" w:line="240" w:lineRule="auto"/>
        <w:jc w:val="both"/>
        <w:rPr>
          <w:rFonts w:asciiTheme="minorHAnsi" w:eastAsia="Century Gothic" w:hAnsiTheme="minorHAnsi" w:cstheme="minorHAnsi"/>
        </w:rPr>
      </w:pPr>
      <w:r w:rsidRPr="003D11CE">
        <w:rPr>
          <w:rFonts w:asciiTheme="minorHAnsi" w:eastAsia="Century Gothic" w:hAnsiTheme="minorHAnsi" w:cstheme="minorHAnsi"/>
        </w:rPr>
        <w:t>Due to an ongoing criminal investigation and planned court proceedings</w:t>
      </w:r>
      <w:r w:rsidR="00B14AE5" w:rsidRPr="003D11CE">
        <w:rPr>
          <w:rFonts w:asciiTheme="minorHAnsi" w:eastAsia="Century Gothic" w:hAnsiTheme="minorHAnsi" w:cstheme="minorHAnsi"/>
        </w:rPr>
        <w:t xml:space="preserve"> (which were severely delayed due to COVID-19 and other circumstances)</w:t>
      </w:r>
      <w:r w:rsidRPr="003D11CE">
        <w:rPr>
          <w:rFonts w:asciiTheme="minorHAnsi" w:eastAsia="Century Gothic" w:hAnsiTheme="minorHAnsi" w:cstheme="minorHAnsi"/>
        </w:rPr>
        <w:t xml:space="preserve"> the report was not published.</w:t>
      </w:r>
      <w:r w:rsidR="00322A55" w:rsidRPr="003D11CE">
        <w:rPr>
          <w:rFonts w:asciiTheme="minorHAnsi" w:eastAsia="Century Gothic" w:hAnsiTheme="minorHAnsi" w:cstheme="minorHAnsi"/>
        </w:rPr>
        <w:t xml:space="preserve"> Learning from the review was shared</w:t>
      </w:r>
      <w:r w:rsidR="00F35ABF" w:rsidRPr="003D11CE">
        <w:rPr>
          <w:rFonts w:asciiTheme="minorHAnsi" w:eastAsia="Century Gothic" w:hAnsiTheme="minorHAnsi" w:cstheme="minorHAnsi"/>
        </w:rPr>
        <w:t xml:space="preserve"> across partner agencies and included in a published ‘infant injury’ themed</w:t>
      </w:r>
      <w:r w:rsidR="00322A55" w:rsidRPr="003D11CE">
        <w:rPr>
          <w:rFonts w:asciiTheme="minorHAnsi" w:eastAsia="Century Gothic" w:hAnsiTheme="minorHAnsi" w:cstheme="minorHAnsi"/>
        </w:rPr>
        <w:t xml:space="preserve"> </w:t>
      </w:r>
      <w:r w:rsidR="008715E2">
        <w:rPr>
          <w:rFonts w:asciiTheme="minorHAnsi" w:eastAsia="Century Gothic" w:hAnsiTheme="minorHAnsi" w:cstheme="minorHAnsi"/>
        </w:rPr>
        <w:t xml:space="preserve">learning </w:t>
      </w:r>
      <w:r w:rsidR="00322A55" w:rsidRPr="003D11CE">
        <w:rPr>
          <w:rFonts w:asciiTheme="minorHAnsi" w:eastAsia="Century Gothic" w:hAnsiTheme="minorHAnsi" w:cstheme="minorHAnsi"/>
        </w:rPr>
        <w:t>briefing.</w:t>
      </w:r>
      <w:r w:rsidRPr="003D11CE">
        <w:rPr>
          <w:rFonts w:asciiTheme="minorHAnsi" w:eastAsia="Century Gothic" w:hAnsiTheme="minorHAnsi" w:cstheme="minorHAnsi"/>
        </w:rPr>
        <w:t xml:space="preserve"> </w:t>
      </w:r>
    </w:p>
    <w:p w14:paraId="0C4E67CE" w14:textId="77777777" w:rsidR="003D11CE" w:rsidRPr="003D11CE" w:rsidRDefault="003D11CE" w:rsidP="003D11CE">
      <w:pPr>
        <w:pStyle w:val="ListParagraph"/>
        <w:rPr>
          <w:rFonts w:asciiTheme="minorHAnsi" w:eastAsia="Century Gothic" w:hAnsiTheme="minorHAnsi" w:cstheme="minorHAnsi"/>
        </w:rPr>
      </w:pPr>
    </w:p>
    <w:p w14:paraId="17919001" w14:textId="077E56C4" w:rsidR="00D949DB" w:rsidRPr="00D949DB" w:rsidRDefault="003B07C5" w:rsidP="00D949DB">
      <w:pPr>
        <w:pStyle w:val="ListParagraph"/>
        <w:numPr>
          <w:ilvl w:val="1"/>
          <w:numId w:val="1"/>
        </w:numPr>
        <w:spacing w:after="0" w:line="240" w:lineRule="auto"/>
        <w:jc w:val="both"/>
        <w:rPr>
          <w:rFonts w:asciiTheme="minorHAnsi" w:eastAsia="Century Gothic" w:hAnsiTheme="minorHAnsi" w:cstheme="minorHAnsi"/>
        </w:rPr>
      </w:pPr>
      <w:r w:rsidRPr="003D11CE">
        <w:rPr>
          <w:rFonts w:asciiTheme="minorHAnsi" w:eastAsia="Century Gothic" w:hAnsiTheme="minorHAnsi" w:cstheme="minorHAnsi"/>
        </w:rPr>
        <w:t xml:space="preserve">The </w:t>
      </w:r>
      <w:r w:rsidR="00030D61">
        <w:rPr>
          <w:rFonts w:asciiTheme="minorHAnsi" w:eastAsia="Century Gothic" w:hAnsiTheme="minorHAnsi" w:cstheme="minorHAnsi"/>
        </w:rPr>
        <w:t>East Sussex LSCB</w:t>
      </w:r>
      <w:r w:rsidR="00D949DB">
        <w:rPr>
          <w:rFonts w:asciiTheme="minorHAnsi" w:eastAsia="Century Gothic" w:hAnsiTheme="minorHAnsi" w:cstheme="minorHAnsi"/>
        </w:rPr>
        <w:t xml:space="preserve"> advised both parents that a SCR was to be conducted. Due to the ongoing criminal investigation the ESSCP were unable to approach the parents for comment until September 2020, when they declined to contribute.  </w:t>
      </w:r>
      <w:r w:rsidR="00D949DB" w:rsidRPr="003D11CE">
        <w:rPr>
          <w:rFonts w:asciiTheme="minorHAnsi" w:eastAsia="Century Gothic" w:hAnsiTheme="minorHAnsi" w:cstheme="minorHAnsi"/>
        </w:rPr>
        <w:t xml:space="preserve">Following the conclusion of the criminal investigation and </w:t>
      </w:r>
      <w:r w:rsidR="00D949DB">
        <w:rPr>
          <w:rFonts w:asciiTheme="minorHAnsi" w:eastAsia="Century Gothic" w:hAnsiTheme="minorHAnsi" w:cstheme="minorHAnsi"/>
        </w:rPr>
        <w:t>court proceedings,</w:t>
      </w:r>
      <w:r w:rsidR="00D949DB" w:rsidRPr="003D11CE">
        <w:rPr>
          <w:rFonts w:asciiTheme="minorHAnsi" w:eastAsia="Century Gothic" w:hAnsiTheme="minorHAnsi" w:cstheme="minorHAnsi"/>
        </w:rPr>
        <w:t xml:space="preserve"> the ESSCP and lead reviewer </w:t>
      </w:r>
      <w:r w:rsidR="00472331">
        <w:rPr>
          <w:rFonts w:asciiTheme="minorHAnsi" w:eastAsia="Century Gothic" w:hAnsiTheme="minorHAnsi" w:cstheme="minorHAnsi"/>
        </w:rPr>
        <w:t xml:space="preserve">again </w:t>
      </w:r>
      <w:r w:rsidR="00D949DB" w:rsidRPr="003D11CE">
        <w:rPr>
          <w:rFonts w:asciiTheme="minorHAnsi" w:eastAsia="Century Gothic" w:hAnsiTheme="minorHAnsi" w:cstheme="minorHAnsi"/>
        </w:rPr>
        <w:t xml:space="preserve">approached both parents for their views. Neither parent wished to </w:t>
      </w:r>
      <w:r w:rsidR="00030D61">
        <w:rPr>
          <w:rFonts w:asciiTheme="minorHAnsi" w:eastAsia="Century Gothic" w:hAnsiTheme="minorHAnsi" w:cstheme="minorHAnsi"/>
        </w:rPr>
        <w:t>contribute</w:t>
      </w:r>
      <w:r w:rsidR="00D949DB" w:rsidRPr="003D11CE">
        <w:rPr>
          <w:rFonts w:asciiTheme="minorHAnsi" w:eastAsia="Century Gothic" w:hAnsiTheme="minorHAnsi" w:cstheme="minorHAnsi"/>
        </w:rPr>
        <w:t xml:space="preserve">. </w:t>
      </w:r>
    </w:p>
    <w:p w14:paraId="464E2B30" w14:textId="77777777" w:rsidR="00D949DB" w:rsidRPr="00D949DB" w:rsidRDefault="00D949DB" w:rsidP="00D949DB">
      <w:pPr>
        <w:pStyle w:val="ListParagraph"/>
        <w:rPr>
          <w:rFonts w:asciiTheme="minorHAnsi" w:eastAsia="Century Gothic" w:hAnsiTheme="minorHAnsi" w:cstheme="minorHAnsi"/>
        </w:rPr>
      </w:pPr>
    </w:p>
    <w:p w14:paraId="3AF36CCB" w14:textId="35D29CA0" w:rsidR="003D11CE" w:rsidRPr="00030D61" w:rsidRDefault="00F17721" w:rsidP="003D11CE">
      <w:pPr>
        <w:pStyle w:val="ListParagraph"/>
        <w:numPr>
          <w:ilvl w:val="1"/>
          <w:numId w:val="1"/>
        </w:numPr>
        <w:spacing w:after="0" w:line="240" w:lineRule="auto"/>
        <w:jc w:val="both"/>
        <w:rPr>
          <w:rFonts w:asciiTheme="minorHAnsi" w:eastAsia="Century Gothic" w:hAnsiTheme="minorHAnsi" w:cstheme="minorHAnsi"/>
        </w:rPr>
      </w:pPr>
      <w:r w:rsidRPr="003D11CE">
        <w:rPr>
          <w:rFonts w:asciiTheme="minorHAnsi" w:eastAsia="Century Gothic" w:hAnsiTheme="minorHAnsi" w:cstheme="minorHAnsi"/>
        </w:rPr>
        <w:t>In May 2023</w:t>
      </w:r>
      <w:r w:rsidR="00B14AE5" w:rsidRPr="003D11CE">
        <w:rPr>
          <w:rFonts w:asciiTheme="minorHAnsi" w:eastAsia="Century Gothic" w:hAnsiTheme="minorHAnsi" w:cstheme="minorHAnsi"/>
        </w:rPr>
        <w:t>,</w:t>
      </w:r>
      <w:r w:rsidRPr="003D11CE">
        <w:rPr>
          <w:rFonts w:asciiTheme="minorHAnsi" w:eastAsia="Century Gothic" w:hAnsiTheme="minorHAnsi" w:cstheme="minorHAnsi"/>
        </w:rPr>
        <w:t xml:space="preserve"> the East Sussex Safeguarding Children Partnership was informed that both parents pleaded guilty to ‘child cruelty’, that includes the issue of ‘wilfully assaulted and/or ill-treats’. </w:t>
      </w:r>
      <w:r w:rsidR="008715E2">
        <w:rPr>
          <w:rFonts w:asciiTheme="minorHAnsi" w:eastAsia="Century Gothic" w:hAnsiTheme="minorHAnsi" w:cstheme="minorHAnsi"/>
        </w:rPr>
        <w:t>B</w:t>
      </w:r>
      <w:r w:rsidR="00A235E6" w:rsidRPr="003D11CE">
        <w:rPr>
          <w:rFonts w:asciiTheme="minorHAnsi" w:eastAsia="Century Gothic" w:hAnsiTheme="minorHAnsi" w:cstheme="minorHAnsi"/>
        </w:rPr>
        <w:t xml:space="preserve">oth </w:t>
      </w:r>
      <w:r w:rsidR="008715E2">
        <w:rPr>
          <w:rFonts w:asciiTheme="minorHAnsi" w:eastAsia="Century Gothic" w:hAnsiTheme="minorHAnsi" w:cstheme="minorHAnsi"/>
        </w:rPr>
        <w:t xml:space="preserve">parents </w:t>
      </w:r>
      <w:r w:rsidR="00A235E6" w:rsidRPr="003D11CE">
        <w:rPr>
          <w:rFonts w:asciiTheme="minorHAnsi" w:eastAsia="Century Gothic" w:hAnsiTheme="minorHAnsi" w:cstheme="minorHAnsi"/>
        </w:rPr>
        <w:t>received suspended sentence</w:t>
      </w:r>
      <w:r w:rsidR="008715E2">
        <w:rPr>
          <w:rFonts w:asciiTheme="minorHAnsi" w:eastAsia="Century Gothic" w:hAnsiTheme="minorHAnsi" w:cstheme="minorHAnsi"/>
        </w:rPr>
        <w:t>s</w:t>
      </w:r>
      <w:r w:rsidR="00A235E6" w:rsidRPr="003D11CE">
        <w:rPr>
          <w:rFonts w:asciiTheme="minorHAnsi" w:eastAsia="Century Gothic" w:hAnsiTheme="minorHAnsi" w:cstheme="minorHAnsi"/>
        </w:rPr>
        <w:t xml:space="preserve"> and rehabilitation activity requirements</w:t>
      </w:r>
      <w:r w:rsidRPr="003D11CE">
        <w:rPr>
          <w:rFonts w:asciiTheme="minorHAnsi" w:eastAsia="Century Gothic" w:hAnsiTheme="minorHAnsi" w:cstheme="minorHAnsi"/>
        </w:rPr>
        <w:t xml:space="preserve">. </w:t>
      </w:r>
    </w:p>
    <w:p w14:paraId="2155687D" w14:textId="77777777" w:rsidR="003D11CE" w:rsidRPr="003D11CE" w:rsidRDefault="003D11CE" w:rsidP="003D11CE">
      <w:pPr>
        <w:pStyle w:val="ListParagraph"/>
        <w:rPr>
          <w:rFonts w:asciiTheme="minorHAnsi" w:eastAsia="Century Gothic" w:hAnsiTheme="minorHAnsi" w:cstheme="minorHAnsi"/>
        </w:rPr>
      </w:pPr>
    </w:p>
    <w:p w14:paraId="56C77374" w14:textId="31FA89D4" w:rsidR="00963A09" w:rsidRPr="00230815" w:rsidRDefault="00322A55" w:rsidP="00230815">
      <w:pPr>
        <w:pStyle w:val="ListParagraph"/>
        <w:numPr>
          <w:ilvl w:val="1"/>
          <w:numId w:val="1"/>
        </w:numPr>
        <w:spacing w:after="0" w:line="240" w:lineRule="auto"/>
        <w:jc w:val="both"/>
        <w:rPr>
          <w:rFonts w:asciiTheme="minorHAnsi" w:eastAsia="Century Gothic" w:hAnsiTheme="minorHAnsi" w:cstheme="minorHAnsi"/>
        </w:rPr>
      </w:pPr>
      <w:r w:rsidRPr="003D11CE">
        <w:rPr>
          <w:rFonts w:asciiTheme="minorHAnsi" w:eastAsia="Century Gothic" w:hAnsiTheme="minorHAnsi" w:cstheme="minorHAnsi"/>
        </w:rPr>
        <w:t xml:space="preserve">After careful consideration, the ESSCP has agreed to publish </w:t>
      </w:r>
      <w:r w:rsidR="009532A7">
        <w:rPr>
          <w:rFonts w:asciiTheme="minorHAnsi" w:eastAsia="Century Gothic" w:hAnsiTheme="minorHAnsi" w:cstheme="minorHAnsi"/>
        </w:rPr>
        <w:t xml:space="preserve">the original report with </w:t>
      </w:r>
      <w:r w:rsidRPr="003D11CE">
        <w:rPr>
          <w:rFonts w:asciiTheme="minorHAnsi" w:eastAsia="Century Gothic" w:hAnsiTheme="minorHAnsi" w:cstheme="minorHAnsi"/>
        </w:rPr>
        <w:t xml:space="preserve">this addendum, rather than revising the 2019 report to fit with the updated safeguarding practice review guidance. </w:t>
      </w:r>
      <w:r w:rsidR="00F35ABF" w:rsidRPr="003D11CE">
        <w:rPr>
          <w:rFonts w:asciiTheme="minorHAnsi" w:eastAsia="Century Gothic" w:hAnsiTheme="minorHAnsi" w:cstheme="minorHAnsi"/>
        </w:rPr>
        <w:t xml:space="preserve">The report still effectively highlights recommendations and lessons learned for the wider safeguarding system. However, </w:t>
      </w:r>
      <w:r w:rsidRPr="003D11CE">
        <w:rPr>
          <w:rFonts w:asciiTheme="minorHAnsi" w:eastAsia="Century Gothic" w:hAnsiTheme="minorHAnsi" w:cstheme="minorHAnsi"/>
        </w:rPr>
        <w:t xml:space="preserve">the original 2019 report contains more </w:t>
      </w:r>
      <w:r w:rsidR="00F35ABF" w:rsidRPr="003D11CE">
        <w:rPr>
          <w:rFonts w:asciiTheme="minorHAnsi" w:eastAsia="Century Gothic" w:hAnsiTheme="minorHAnsi" w:cstheme="minorHAnsi"/>
        </w:rPr>
        <w:t xml:space="preserve">reflection and </w:t>
      </w:r>
      <w:r w:rsidRPr="003D11CE">
        <w:rPr>
          <w:rFonts w:asciiTheme="minorHAnsi" w:eastAsia="Century Gothic" w:hAnsiTheme="minorHAnsi" w:cstheme="minorHAnsi"/>
        </w:rPr>
        <w:t>details on the case than is expected in current guidance</w:t>
      </w:r>
      <w:r w:rsidR="00F35ABF" w:rsidRPr="003D11CE">
        <w:rPr>
          <w:rFonts w:asciiTheme="minorHAnsi" w:eastAsia="Century Gothic" w:hAnsiTheme="minorHAnsi" w:cstheme="minorHAnsi"/>
        </w:rPr>
        <w:t xml:space="preserve">. </w:t>
      </w:r>
    </w:p>
    <w:p w14:paraId="023A6E05" w14:textId="77777777" w:rsidR="003D11CE" w:rsidRPr="003D11CE" w:rsidRDefault="003D11CE" w:rsidP="003D11CE">
      <w:pPr>
        <w:spacing w:after="0" w:line="240" w:lineRule="auto"/>
        <w:jc w:val="both"/>
        <w:rPr>
          <w:rFonts w:asciiTheme="minorHAnsi" w:eastAsia="Century Gothic" w:hAnsiTheme="minorHAnsi" w:cstheme="minorHAnsi"/>
        </w:rPr>
      </w:pPr>
    </w:p>
    <w:p w14:paraId="0999F099" w14:textId="77777777" w:rsidR="003D11CE" w:rsidRDefault="003D11CE" w:rsidP="003D11CE">
      <w:pPr>
        <w:spacing w:after="0" w:line="240" w:lineRule="auto"/>
        <w:jc w:val="both"/>
        <w:rPr>
          <w:rFonts w:asciiTheme="minorHAnsi" w:eastAsia="Century Gothic" w:hAnsiTheme="minorHAnsi" w:cstheme="minorHAnsi"/>
          <w:b/>
          <w:bCs/>
        </w:rPr>
      </w:pPr>
      <w:r>
        <w:rPr>
          <w:rFonts w:asciiTheme="minorHAnsi" w:eastAsia="Century Gothic" w:hAnsiTheme="minorHAnsi" w:cstheme="minorHAnsi"/>
          <w:b/>
          <w:bCs/>
        </w:rPr>
        <w:t>Impact of learning on local practice</w:t>
      </w:r>
    </w:p>
    <w:p w14:paraId="42B94355" w14:textId="77777777" w:rsidR="00963A09" w:rsidRDefault="00963A09" w:rsidP="00963A09">
      <w:pPr>
        <w:spacing w:after="0" w:line="240" w:lineRule="auto"/>
        <w:jc w:val="both"/>
        <w:rPr>
          <w:rFonts w:asciiTheme="minorHAnsi" w:eastAsia="Century Gothic" w:hAnsiTheme="minorHAnsi" w:cstheme="minorHAnsi"/>
          <w:b/>
          <w:bCs/>
        </w:rPr>
      </w:pPr>
    </w:p>
    <w:p w14:paraId="5A64A177" w14:textId="723228ED" w:rsidR="00963A09" w:rsidRDefault="00963A09" w:rsidP="00963A09">
      <w:pPr>
        <w:pStyle w:val="ListParagraph"/>
        <w:numPr>
          <w:ilvl w:val="1"/>
          <w:numId w:val="1"/>
        </w:numPr>
        <w:spacing w:after="0" w:line="240" w:lineRule="auto"/>
        <w:jc w:val="both"/>
        <w:rPr>
          <w:rFonts w:asciiTheme="minorHAnsi" w:hAnsiTheme="minorHAnsi" w:cstheme="minorHAnsi"/>
        </w:rPr>
      </w:pPr>
      <w:r>
        <w:rPr>
          <w:rFonts w:asciiTheme="minorHAnsi" w:hAnsiTheme="minorHAnsi" w:cstheme="minorHAnsi"/>
        </w:rPr>
        <w:t>As is standard practice for all safeguarding reviews in East Sussex, t</w:t>
      </w:r>
      <w:r w:rsidRPr="00963A09">
        <w:rPr>
          <w:rFonts w:asciiTheme="minorHAnsi" w:hAnsiTheme="minorHAnsi" w:cstheme="minorHAnsi"/>
        </w:rPr>
        <w:t xml:space="preserve">he action plan arising from the Child V SCR was signed-off by the ESSCP Steering Group and </w:t>
      </w:r>
      <w:r>
        <w:rPr>
          <w:rFonts w:asciiTheme="minorHAnsi" w:hAnsiTheme="minorHAnsi" w:cstheme="minorHAnsi"/>
        </w:rPr>
        <w:t xml:space="preserve">was regularly </w:t>
      </w:r>
      <w:r w:rsidRPr="00963A09">
        <w:rPr>
          <w:rFonts w:asciiTheme="minorHAnsi" w:hAnsiTheme="minorHAnsi" w:cstheme="minorHAnsi"/>
        </w:rPr>
        <w:t xml:space="preserve">reviewed </w:t>
      </w:r>
      <w:r>
        <w:rPr>
          <w:rFonts w:asciiTheme="minorHAnsi" w:hAnsiTheme="minorHAnsi" w:cstheme="minorHAnsi"/>
        </w:rPr>
        <w:t xml:space="preserve">by the </w:t>
      </w:r>
      <w:r w:rsidRPr="00963A09">
        <w:rPr>
          <w:rFonts w:asciiTheme="minorHAnsi" w:hAnsiTheme="minorHAnsi" w:cstheme="minorHAnsi"/>
        </w:rPr>
        <w:t>ESSCP Case Review Group</w:t>
      </w:r>
      <w:r>
        <w:rPr>
          <w:rFonts w:asciiTheme="minorHAnsi" w:hAnsiTheme="minorHAnsi" w:cstheme="minorHAnsi"/>
        </w:rPr>
        <w:t xml:space="preserve">. </w:t>
      </w:r>
    </w:p>
    <w:p w14:paraId="6A24D122" w14:textId="77777777" w:rsidR="00963A09" w:rsidRDefault="00963A09" w:rsidP="00963A09">
      <w:pPr>
        <w:pStyle w:val="ListParagraph"/>
        <w:spacing w:after="0" w:line="240" w:lineRule="auto"/>
        <w:jc w:val="both"/>
        <w:rPr>
          <w:rFonts w:asciiTheme="minorHAnsi" w:hAnsiTheme="minorHAnsi" w:cstheme="minorHAnsi"/>
        </w:rPr>
      </w:pPr>
    </w:p>
    <w:p w14:paraId="78F3F39D" w14:textId="506FE0EA" w:rsidR="00536870" w:rsidRDefault="00230815" w:rsidP="00963A09">
      <w:pPr>
        <w:pStyle w:val="ListParagraph"/>
        <w:numPr>
          <w:ilvl w:val="1"/>
          <w:numId w:val="1"/>
        </w:numPr>
        <w:spacing w:after="0" w:line="240" w:lineRule="auto"/>
        <w:jc w:val="both"/>
        <w:rPr>
          <w:rFonts w:asciiTheme="minorHAnsi" w:hAnsiTheme="minorHAnsi" w:cstheme="minorHAnsi"/>
        </w:rPr>
      </w:pPr>
      <w:r>
        <w:rPr>
          <w:rFonts w:asciiTheme="minorHAnsi" w:eastAsia="Century Gothic" w:hAnsiTheme="minorHAnsi" w:cstheme="minorHAnsi"/>
        </w:rPr>
        <w:t xml:space="preserve">Learning </w:t>
      </w:r>
      <w:r w:rsidR="00554CCB">
        <w:rPr>
          <w:rFonts w:asciiTheme="minorHAnsi" w:eastAsia="Century Gothic" w:hAnsiTheme="minorHAnsi" w:cstheme="minorHAnsi"/>
        </w:rPr>
        <w:t xml:space="preserve">on infant injuries, </w:t>
      </w:r>
      <w:r>
        <w:rPr>
          <w:rFonts w:asciiTheme="minorHAnsi" w:eastAsia="Century Gothic" w:hAnsiTheme="minorHAnsi" w:cstheme="minorHAnsi"/>
        </w:rPr>
        <w:t>from the Child V SCR</w:t>
      </w:r>
      <w:r w:rsidR="00554CCB">
        <w:rPr>
          <w:rFonts w:asciiTheme="minorHAnsi" w:eastAsia="Century Gothic" w:hAnsiTheme="minorHAnsi" w:cstheme="minorHAnsi"/>
        </w:rPr>
        <w:t>,</w:t>
      </w:r>
      <w:r>
        <w:rPr>
          <w:rFonts w:asciiTheme="minorHAnsi" w:eastAsia="Century Gothic" w:hAnsiTheme="minorHAnsi" w:cstheme="minorHAnsi"/>
        </w:rPr>
        <w:t xml:space="preserve"> became a priority area of focus for the ESSCP. </w:t>
      </w:r>
      <w:r w:rsidR="00963A09">
        <w:rPr>
          <w:rFonts w:asciiTheme="minorHAnsi" w:eastAsia="Century Gothic" w:hAnsiTheme="minorHAnsi" w:cstheme="minorHAnsi"/>
        </w:rPr>
        <w:t xml:space="preserve">In the same period as the </w:t>
      </w:r>
      <w:r w:rsidR="00536870" w:rsidRPr="00963A09">
        <w:rPr>
          <w:rFonts w:asciiTheme="minorHAnsi" w:eastAsia="Century Gothic" w:hAnsiTheme="minorHAnsi" w:cstheme="minorHAnsi"/>
        </w:rPr>
        <w:t>Child V SCR</w:t>
      </w:r>
      <w:r w:rsidR="00963A09">
        <w:rPr>
          <w:rFonts w:asciiTheme="minorHAnsi" w:eastAsia="Century Gothic" w:hAnsiTheme="minorHAnsi" w:cstheme="minorHAnsi"/>
        </w:rPr>
        <w:t>,</w:t>
      </w:r>
      <w:r w:rsidR="00536870" w:rsidRPr="00963A09">
        <w:rPr>
          <w:rFonts w:asciiTheme="minorHAnsi" w:eastAsia="Century Gothic" w:hAnsiTheme="minorHAnsi" w:cstheme="minorHAnsi"/>
        </w:rPr>
        <w:t xml:space="preserve"> the ESSCP was also undertaking the Child W SCR, following the death of an </w:t>
      </w:r>
      <w:r w:rsidRPr="00963A09">
        <w:rPr>
          <w:rFonts w:asciiTheme="minorHAnsi" w:eastAsia="Century Gothic" w:hAnsiTheme="minorHAnsi" w:cstheme="minorHAnsi"/>
        </w:rPr>
        <w:t>eight-week-old</w:t>
      </w:r>
      <w:r w:rsidR="00536870" w:rsidRPr="00963A09">
        <w:rPr>
          <w:rFonts w:asciiTheme="minorHAnsi" w:eastAsia="Century Gothic" w:hAnsiTheme="minorHAnsi" w:cstheme="minorHAnsi"/>
        </w:rPr>
        <w:t xml:space="preserve"> baby who died from non-accidental injuries. There were many similarities in learning</w:t>
      </w:r>
      <w:r w:rsidR="00963A09" w:rsidRPr="00963A09">
        <w:rPr>
          <w:rFonts w:asciiTheme="minorHAnsi" w:eastAsia="Century Gothic" w:hAnsiTheme="minorHAnsi" w:cstheme="minorHAnsi"/>
        </w:rPr>
        <w:t xml:space="preserve"> from both reviews</w:t>
      </w:r>
      <w:r w:rsidR="00536870" w:rsidRPr="00963A09">
        <w:rPr>
          <w:rFonts w:asciiTheme="minorHAnsi" w:eastAsia="Century Gothic" w:hAnsiTheme="minorHAnsi" w:cstheme="minorHAnsi"/>
        </w:rPr>
        <w:t>, highlight</w:t>
      </w:r>
      <w:r>
        <w:rPr>
          <w:rFonts w:asciiTheme="minorHAnsi" w:eastAsia="Century Gothic" w:hAnsiTheme="minorHAnsi" w:cstheme="minorHAnsi"/>
        </w:rPr>
        <w:t>ing</w:t>
      </w:r>
      <w:r w:rsidR="00536870" w:rsidRPr="00963A09">
        <w:rPr>
          <w:rFonts w:asciiTheme="minorHAnsi" w:eastAsia="Century Gothic" w:hAnsiTheme="minorHAnsi" w:cstheme="minorHAnsi"/>
        </w:rPr>
        <w:t xml:space="preserve"> </w:t>
      </w:r>
      <w:r w:rsidR="00554CCB">
        <w:rPr>
          <w:rFonts w:asciiTheme="minorHAnsi" w:eastAsia="Century Gothic" w:hAnsiTheme="minorHAnsi" w:cstheme="minorHAnsi"/>
        </w:rPr>
        <w:t xml:space="preserve">the fact </w:t>
      </w:r>
      <w:r w:rsidR="00536870" w:rsidRPr="00963A09">
        <w:rPr>
          <w:rFonts w:asciiTheme="minorHAnsi" w:eastAsia="Century Gothic" w:hAnsiTheme="minorHAnsi" w:cstheme="minorHAnsi"/>
        </w:rPr>
        <w:t>t</w:t>
      </w:r>
      <w:r w:rsidR="00963A09" w:rsidRPr="00963A09">
        <w:rPr>
          <w:rFonts w:asciiTheme="minorHAnsi" w:eastAsia="Century Gothic" w:hAnsiTheme="minorHAnsi" w:cstheme="minorHAnsi"/>
        </w:rPr>
        <w:t xml:space="preserve">hat babies and young children are particular vulnerable to abuse and neglect. </w:t>
      </w:r>
      <w:r w:rsidR="00536870" w:rsidRPr="00963A09">
        <w:rPr>
          <w:rFonts w:asciiTheme="minorHAnsi" w:hAnsiTheme="minorHAnsi" w:cstheme="minorHAnsi"/>
        </w:rPr>
        <w:t xml:space="preserve">Following on from this, the ESSCP decided to focus on ‘safeguarding </w:t>
      </w:r>
      <w:r w:rsidR="00963A09" w:rsidRPr="00963A09">
        <w:rPr>
          <w:rFonts w:asciiTheme="minorHAnsi" w:hAnsiTheme="minorHAnsi" w:cstheme="minorHAnsi"/>
        </w:rPr>
        <w:t>Infants</w:t>
      </w:r>
      <w:r>
        <w:rPr>
          <w:rFonts w:asciiTheme="minorHAnsi" w:hAnsiTheme="minorHAnsi" w:cstheme="minorHAnsi"/>
        </w:rPr>
        <w:t>’</w:t>
      </w:r>
      <w:r w:rsidR="00536870" w:rsidRPr="00963A09">
        <w:rPr>
          <w:rFonts w:asciiTheme="minorHAnsi" w:hAnsiTheme="minorHAnsi" w:cstheme="minorHAnsi"/>
        </w:rPr>
        <w:t>, as one of its key priorities, to ensure that action arising from the</w:t>
      </w:r>
      <w:r w:rsidR="00554CCB">
        <w:rPr>
          <w:rFonts w:asciiTheme="minorHAnsi" w:hAnsiTheme="minorHAnsi" w:cstheme="minorHAnsi"/>
        </w:rPr>
        <w:t xml:space="preserve"> two</w:t>
      </w:r>
      <w:r w:rsidR="00536870" w:rsidRPr="00963A09">
        <w:rPr>
          <w:rFonts w:asciiTheme="minorHAnsi" w:hAnsiTheme="minorHAnsi" w:cstheme="minorHAnsi"/>
        </w:rPr>
        <w:t xml:space="preserve"> reviews was coordinated and the profile of safeguarding </w:t>
      </w:r>
      <w:r w:rsidR="00963A09" w:rsidRPr="00963A09">
        <w:rPr>
          <w:rFonts w:asciiTheme="minorHAnsi" w:hAnsiTheme="minorHAnsi" w:cstheme="minorHAnsi"/>
        </w:rPr>
        <w:t>infants</w:t>
      </w:r>
      <w:r w:rsidR="00536870" w:rsidRPr="00963A09">
        <w:rPr>
          <w:rFonts w:asciiTheme="minorHAnsi" w:hAnsiTheme="minorHAnsi" w:cstheme="minorHAnsi"/>
        </w:rPr>
        <w:t xml:space="preserve"> was raised across partner agencies. </w:t>
      </w:r>
    </w:p>
    <w:p w14:paraId="4500C2A1" w14:textId="77777777" w:rsidR="00963A09" w:rsidRPr="00963A09" w:rsidRDefault="00963A09" w:rsidP="00963A09">
      <w:pPr>
        <w:spacing w:after="0" w:line="240" w:lineRule="auto"/>
        <w:jc w:val="both"/>
        <w:rPr>
          <w:rFonts w:asciiTheme="minorHAnsi" w:hAnsiTheme="minorHAnsi" w:cstheme="minorHAnsi"/>
        </w:rPr>
      </w:pPr>
    </w:p>
    <w:p w14:paraId="72A29118" w14:textId="5AD99632" w:rsidR="00230815" w:rsidRPr="00D91FB6" w:rsidRDefault="00963A09" w:rsidP="00230815">
      <w:pPr>
        <w:pStyle w:val="ListParagraph"/>
        <w:numPr>
          <w:ilvl w:val="1"/>
          <w:numId w:val="1"/>
        </w:numPr>
        <w:spacing w:after="0" w:line="240" w:lineRule="auto"/>
        <w:jc w:val="both"/>
        <w:rPr>
          <w:rFonts w:asciiTheme="minorHAnsi" w:hAnsiTheme="minorHAnsi" w:cstheme="minorHAnsi"/>
        </w:rPr>
      </w:pPr>
      <w:r w:rsidRPr="00963A09">
        <w:rPr>
          <w:rFonts w:asciiTheme="minorHAnsi" w:hAnsiTheme="minorHAnsi" w:cstheme="minorHAnsi"/>
        </w:rPr>
        <w:t xml:space="preserve">In April 2023, an ‘evidencing impact’ event </w:t>
      </w:r>
      <w:r w:rsidR="00230815">
        <w:rPr>
          <w:rFonts w:asciiTheme="minorHAnsi" w:hAnsiTheme="minorHAnsi" w:cstheme="minorHAnsi"/>
        </w:rPr>
        <w:t>was held</w:t>
      </w:r>
      <w:r w:rsidRPr="00963A09">
        <w:rPr>
          <w:rFonts w:asciiTheme="minorHAnsi" w:hAnsiTheme="minorHAnsi" w:cstheme="minorHAnsi"/>
        </w:rPr>
        <w:t xml:space="preserve"> with front-line practitioners and managers, some of who</w:t>
      </w:r>
      <w:r w:rsidR="00DB7857">
        <w:rPr>
          <w:rFonts w:asciiTheme="minorHAnsi" w:hAnsiTheme="minorHAnsi" w:cstheme="minorHAnsi"/>
        </w:rPr>
        <w:t>m</w:t>
      </w:r>
      <w:r w:rsidRPr="00963A09">
        <w:rPr>
          <w:rFonts w:asciiTheme="minorHAnsi" w:hAnsiTheme="minorHAnsi" w:cstheme="minorHAnsi"/>
        </w:rPr>
        <w:t xml:space="preserve"> were involved in the original case. Th</w:t>
      </w:r>
      <w:r w:rsidR="00230815">
        <w:rPr>
          <w:rFonts w:asciiTheme="minorHAnsi" w:hAnsiTheme="minorHAnsi" w:cstheme="minorHAnsi"/>
        </w:rPr>
        <w:t>is</w:t>
      </w:r>
      <w:r w:rsidRPr="00963A09">
        <w:rPr>
          <w:rFonts w:asciiTheme="minorHAnsi" w:hAnsiTheme="minorHAnsi" w:cstheme="minorHAnsi"/>
        </w:rPr>
        <w:t xml:space="preserve"> event w</w:t>
      </w:r>
      <w:r w:rsidR="00230815">
        <w:rPr>
          <w:rFonts w:asciiTheme="minorHAnsi" w:hAnsiTheme="minorHAnsi" w:cstheme="minorHAnsi"/>
        </w:rPr>
        <w:t>as</w:t>
      </w:r>
      <w:r w:rsidRPr="00963A09">
        <w:rPr>
          <w:rFonts w:asciiTheme="minorHAnsi" w:hAnsiTheme="minorHAnsi" w:cstheme="minorHAnsi"/>
        </w:rPr>
        <w:t xml:space="preserve"> used to consider how the </w:t>
      </w:r>
      <w:r w:rsidR="00554CCB">
        <w:rPr>
          <w:rFonts w:asciiTheme="minorHAnsi" w:hAnsiTheme="minorHAnsi" w:cstheme="minorHAnsi"/>
        </w:rPr>
        <w:t xml:space="preserve">two </w:t>
      </w:r>
      <w:r w:rsidRPr="00963A09">
        <w:rPr>
          <w:rFonts w:asciiTheme="minorHAnsi" w:hAnsiTheme="minorHAnsi" w:cstheme="minorHAnsi"/>
        </w:rPr>
        <w:t>review</w:t>
      </w:r>
      <w:r w:rsidR="00554CCB">
        <w:rPr>
          <w:rFonts w:asciiTheme="minorHAnsi" w:hAnsiTheme="minorHAnsi" w:cstheme="minorHAnsi"/>
        </w:rPr>
        <w:t>s</w:t>
      </w:r>
      <w:r w:rsidRPr="00963A09">
        <w:rPr>
          <w:rFonts w:asciiTheme="minorHAnsi" w:hAnsiTheme="minorHAnsi" w:cstheme="minorHAnsi"/>
        </w:rPr>
        <w:t xml:space="preserve"> ha</w:t>
      </w:r>
      <w:r w:rsidR="00230815">
        <w:rPr>
          <w:rFonts w:asciiTheme="minorHAnsi" w:hAnsiTheme="minorHAnsi" w:cstheme="minorHAnsi"/>
        </w:rPr>
        <w:t>d</w:t>
      </w:r>
      <w:r w:rsidRPr="00963A09">
        <w:rPr>
          <w:rFonts w:asciiTheme="minorHAnsi" w:hAnsiTheme="minorHAnsi" w:cstheme="minorHAnsi"/>
        </w:rPr>
        <w:t xml:space="preserve"> impacted on </w:t>
      </w:r>
      <w:r w:rsidR="00230815">
        <w:rPr>
          <w:rFonts w:asciiTheme="minorHAnsi" w:hAnsiTheme="minorHAnsi" w:cstheme="minorHAnsi"/>
        </w:rPr>
        <w:t xml:space="preserve">local </w:t>
      </w:r>
      <w:r w:rsidRPr="00963A09">
        <w:rPr>
          <w:rFonts w:asciiTheme="minorHAnsi" w:hAnsiTheme="minorHAnsi" w:cstheme="minorHAnsi"/>
        </w:rPr>
        <w:t>practice and outcomes for children and families.</w:t>
      </w:r>
      <w:r w:rsidR="00230815">
        <w:rPr>
          <w:rFonts w:asciiTheme="minorHAnsi" w:hAnsiTheme="minorHAnsi" w:cstheme="minorHAnsi"/>
        </w:rPr>
        <w:t xml:space="preserve"> The following examples of </w:t>
      </w:r>
      <w:r w:rsidR="00230815">
        <w:rPr>
          <w:rFonts w:asciiTheme="minorHAnsi" w:hAnsiTheme="minorHAnsi" w:cstheme="minorHAnsi"/>
        </w:rPr>
        <w:lastRenderedPageBreak/>
        <w:t xml:space="preserve">how the Child V SCR has impacted on local practice are taken from the action plan and </w:t>
      </w:r>
      <w:r w:rsidR="0042347E">
        <w:rPr>
          <w:rFonts w:asciiTheme="minorHAnsi" w:hAnsiTheme="minorHAnsi" w:cstheme="minorHAnsi"/>
        </w:rPr>
        <w:t>the e</w:t>
      </w:r>
      <w:r w:rsidR="00230815">
        <w:rPr>
          <w:rFonts w:asciiTheme="minorHAnsi" w:hAnsiTheme="minorHAnsi" w:cstheme="minorHAnsi"/>
        </w:rPr>
        <w:t xml:space="preserve">videncing impact event: </w:t>
      </w:r>
    </w:p>
    <w:p w14:paraId="2768982C" w14:textId="45859FBD" w:rsidR="00230815" w:rsidRPr="00405E07" w:rsidRDefault="00F12822" w:rsidP="00230815">
      <w:pPr>
        <w:pStyle w:val="ListParagraph"/>
        <w:numPr>
          <w:ilvl w:val="0"/>
          <w:numId w:val="8"/>
        </w:numPr>
        <w:spacing w:after="0" w:line="240" w:lineRule="auto"/>
        <w:jc w:val="both"/>
        <w:rPr>
          <w:rFonts w:asciiTheme="minorHAnsi" w:hAnsiTheme="minorHAnsi" w:cstheme="minorHAnsi"/>
        </w:rPr>
      </w:pPr>
      <w:r>
        <w:rPr>
          <w:rFonts w:asciiTheme="minorHAnsi" w:hAnsiTheme="minorHAnsi" w:cstheme="minorHAnsi"/>
        </w:rPr>
        <w:t xml:space="preserve">The guidance provided to professionals on bruising and/or injuries in children who are not independently mobile has been strengthened within the </w:t>
      </w:r>
      <w:hyperlink r:id="rId8" w:anchor=":~:text=Any%20injury%20and%20its%20explanation,either%20accidental%20or%20non%2Daccidental." w:history="1">
        <w:r>
          <w:rPr>
            <w:rStyle w:val="Hyperlink"/>
          </w:rPr>
          <w:t>8.1 Unexplained Injuries to Young Children | Sussex Child Protection and Safeguarding Procedures Manual</w:t>
        </w:r>
      </w:hyperlink>
      <w:r>
        <w:t xml:space="preserve">. A leaflet for parents, on what happens next if their baby has a bruise or unexplained injury, was also created. These tools were shared and publicised via regular communication networks, </w:t>
      </w:r>
      <w:r w:rsidR="00405E07">
        <w:t xml:space="preserve">via </w:t>
      </w:r>
      <w:r w:rsidR="00B363F2">
        <w:t>a</w:t>
      </w:r>
      <w:r w:rsidR="0042347E">
        <w:t xml:space="preserve"> series</w:t>
      </w:r>
      <w:r w:rsidR="00B363F2">
        <w:t xml:space="preserve"> of </w:t>
      </w:r>
      <w:r w:rsidR="00405E07">
        <w:t xml:space="preserve">bitesize training lessons on ‘Safeguarding Infants’, and </w:t>
      </w:r>
      <w:r w:rsidR="0042347E">
        <w:t>the</w:t>
      </w:r>
      <w:r w:rsidR="00405E07">
        <w:t xml:space="preserve"> Pan Sussex Conference in November 2021 which was focused on the theme of ‘Safeguarding Infants’. Wider visibility and easier access to procedures provides professionals with the guidance and tools to act quickly and appropriately in these situations. A deep dive audit on unexplained injuries in under 1s, conducted by the ESSCP QA Subgroup in 2021, identified good practice by professionals in both cases. </w:t>
      </w:r>
    </w:p>
    <w:p w14:paraId="21382302" w14:textId="2E04D32B" w:rsidR="00F40BC2" w:rsidRPr="00F40BC2" w:rsidRDefault="00405E07" w:rsidP="00230815">
      <w:pPr>
        <w:pStyle w:val="ListParagraph"/>
        <w:numPr>
          <w:ilvl w:val="0"/>
          <w:numId w:val="8"/>
        </w:numPr>
        <w:spacing w:after="0" w:line="240" w:lineRule="auto"/>
        <w:jc w:val="both"/>
        <w:rPr>
          <w:rFonts w:asciiTheme="minorHAnsi" w:hAnsiTheme="minorHAnsi" w:cstheme="minorHAnsi"/>
        </w:rPr>
      </w:pPr>
      <w:r>
        <w:t xml:space="preserve">Maternity records are now fully electronic enabling post-natal notes to be accessed </w:t>
      </w:r>
      <w:r w:rsidR="00B363F2">
        <w:t>easily</w:t>
      </w:r>
      <w:r>
        <w:t xml:space="preserve"> by professionals. </w:t>
      </w:r>
      <w:r w:rsidR="007C224E">
        <w:t xml:space="preserve">There is also much better sharing of information between midwifery and health visiting services. </w:t>
      </w:r>
      <w:r>
        <w:t xml:space="preserve">This means that professionals working with a family are </w:t>
      </w:r>
      <w:r w:rsidR="00B363F2">
        <w:t xml:space="preserve">now </w:t>
      </w:r>
      <w:r>
        <w:t xml:space="preserve">able to </w:t>
      </w:r>
      <w:r w:rsidR="00B363F2">
        <w:t xml:space="preserve">check records and </w:t>
      </w:r>
      <w:r>
        <w:t xml:space="preserve">develop a comprehensive understanding of the child within their family/care network. </w:t>
      </w:r>
    </w:p>
    <w:p w14:paraId="74D73089" w14:textId="3E39A096" w:rsidR="00DB7857" w:rsidRPr="00334EB9" w:rsidRDefault="00DB7857" w:rsidP="00230815">
      <w:pPr>
        <w:pStyle w:val="ListParagraph"/>
        <w:numPr>
          <w:ilvl w:val="0"/>
          <w:numId w:val="8"/>
        </w:numPr>
        <w:spacing w:after="0" w:line="240" w:lineRule="auto"/>
        <w:jc w:val="both"/>
        <w:rPr>
          <w:rFonts w:asciiTheme="minorHAnsi" w:hAnsiTheme="minorHAnsi" w:cstheme="minorHAnsi"/>
        </w:rPr>
      </w:pPr>
      <w:r>
        <w:t>Work has taken place in children’s social care to improve the timeliness of completing pre-birth assessment work,</w:t>
      </w:r>
      <w:r w:rsidR="001E2080">
        <w:t xml:space="preserve"> including</w:t>
      </w:r>
      <w:r>
        <w:t xml:space="preserve"> improving the level </w:t>
      </w:r>
      <w:r w:rsidR="00F63B17">
        <w:t xml:space="preserve">of </w:t>
      </w:r>
      <w:r>
        <w:t xml:space="preserve">contact with the prospective parents within the assessment process. </w:t>
      </w:r>
      <w:r w:rsidR="001E2080">
        <w:t xml:space="preserve">As part of this work, the operational instructions for pre-birth assessments were reviewed and relaunched with front-line teams. An audit the following year found that the process was embedded with teams: nearly all cases were judged outstanding or good; there was good multi-agency information sharing, management oversight and decision making, and the timeliness in allocation and assessment had all improved since the previous audit. </w:t>
      </w:r>
    </w:p>
    <w:p w14:paraId="72B9720B" w14:textId="560954CC" w:rsidR="00014FC8" w:rsidRPr="00014FC8" w:rsidRDefault="00014FC8" w:rsidP="00014FC8">
      <w:pPr>
        <w:pStyle w:val="ListParagraph"/>
        <w:numPr>
          <w:ilvl w:val="0"/>
          <w:numId w:val="8"/>
        </w:numPr>
        <w:spacing w:after="0" w:line="240" w:lineRule="auto"/>
        <w:jc w:val="both"/>
        <w:rPr>
          <w:rFonts w:asciiTheme="minorHAnsi" w:eastAsia="Times New Roman" w:hAnsiTheme="minorHAnsi" w:cstheme="minorHAnsi"/>
          <w:sz w:val="24"/>
          <w:szCs w:val="24"/>
        </w:rPr>
      </w:pPr>
      <w:r w:rsidRPr="00014FC8">
        <w:rPr>
          <w:rFonts w:asciiTheme="minorHAnsi" w:hAnsiTheme="minorHAnsi" w:cstheme="minorHAnsi"/>
        </w:rPr>
        <w:t xml:space="preserve">Considerable work has taken place across the general practice network in East Sussex to strengthen GPs knowledge and response to unexplained injuries and/or bruising in non-mobile children. Primary </w:t>
      </w:r>
      <w:r w:rsidR="00EF3728">
        <w:rPr>
          <w:rFonts w:asciiTheme="minorHAnsi" w:hAnsiTheme="minorHAnsi" w:cstheme="minorHAnsi"/>
        </w:rPr>
        <w:t>C</w:t>
      </w:r>
      <w:r w:rsidRPr="00014FC8">
        <w:rPr>
          <w:rFonts w:asciiTheme="minorHAnsi" w:hAnsiTheme="minorHAnsi" w:cstheme="minorHAnsi"/>
        </w:rPr>
        <w:t xml:space="preserve">are are encouraged to ensure children on child protection plans are seen, or have contact, with a clinician on the day an appointment is requested (and when this happens in a surgery this is done by a permanent clinician in the surgery where the child is registered). </w:t>
      </w:r>
    </w:p>
    <w:p w14:paraId="1DDE573E" w14:textId="70440860" w:rsidR="00C27326" w:rsidRPr="00C27326" w:rsidRDefault="009532A7" w:rsidP="00C27326">
      <w:pPr>
        <w:pStyle w:val="ListParagraph"/>
        <w:numPr>
          <w:ilvl w:val="0"/>
          <w:numId w:val="8"/>
        </w:numPr>
        <w:spacing w:after="0" w:line="240" w:lineRule="auto"/>
        <w:ind w:left="1434" w:hanging="357"/>
        <w:jc w:val="both"/>
        <w:rPr>
          <w:rFonts w:cs="Calibri"/>
        </w:rPr>
      </w:pPr>
      <w:r>
        <w:rPr>
          <w:rFonts w:cs="Calibri"/>
        </w:rPr>
        <w:t xml:space="preserve">The process for requesting child protection medicals has been </w:t>
      </w:r>
      <w:r w:rsidR="00C27326">
        <w:rPr>
          <w:rFonts w:cs="Calibri"/>
        </w:rPr>
        <w:t xml:space="preserve">reviewed and </w:t>
      </w:r>
      <w:r>
        <w:rPr>
          <w:rFonts w:cs="Calibri"/>
        </w:rPr>
        <w:t>improved</w:t>
      </w:r>
      <w:r w:rsidR="00C27326">
        <w:rPr>
          <w:rFonts w:cs="Calibri"/>
        </w:rPr>
        <w:t xml:space="preserve">, with the development of a new referral form and clear documentation on the outcome of the referral. Regular meetings </w:t>
      </w:r>
      <w:r>
        <w:rPr>
          <w:rFonts w:cs="Calibri"/>
        </w:rPr>
        <w:t xml:space="preserve">check that processes are happening </w:t>
      </w:r>
      <w:r w:rsidR="00C27326">
        <w:rPr>
          <w:rFonts w:cs="Calibri"/>
        </w:rPr>
        <w:t xml:space="preserve">in </w:t>
      </w:r>
      <w:r>
        <w:rPr>
          <w:rFonts w:cs="Calibri"/>
        </w:rPr>
        <w:t xml:space="preserve">the way they </w:t>
      </w:r>
      <w:r w:rsidR="00C27326">
        <w:rPr>
          <w:rFonts w:cs="Calibri"/>
        </w:rPr>
        <w:t>should, and improved documentation enables appropriate monitoring and quality assurance of decision making</w:t>
      </w:r>
      <w:r>
        <w:rPr>
          <w:rFonts w:cs="Calibri"/>
        </w:rPr>
        <w:t xml:space="preserve">. Outside of meetings there is better networking and use of escalation processes if required. The Police are also attending more CP medicals. Learning from local reviews and ICON has been included inductions for Emergency Department and Paediatric doctors in East Sussex. </w:t>
      </w:r>
    </w:p>
    <w:p w14:paraId="75C00074" w14:textId="77777777" w:rsidR="009532A7" w:rsidRPr="009532A7" w:rsidRDefault="007C224E" w:rsidP="009532A7">
      <w:pPr>
        <w:pStyle w:val="ListParagraph"/>
        <w:numPr>
          <w:ilvl w:val="0"/>
          <w:numId w:val="8"/>
        </w:numPr>
        <w:spacing w:after="0" w:line="240" w:lineRule="auto"/>
        <w:jc w:val="both"/>
        <w:rPr>
          <w:rFonts w:asciiTheme="minorHAnsi" w:hAnsiTheme="minorHAnsi" w:cstheme="minorHAnsi"/>
        </w:rPr>
      </w:pPr>
      <w:r>
        <w:t xml:space="preserve">Across Sussex, agencies have signed up to ICON – an evidenced based preventative programme, designed to support parents better understand and safely respond to infant crying. The ICON message is: ‘I’ infant crying is normal; ‘C’ comforting methods can help; ‘O’ its OK to walk away; and ‘N’ never, ever shake a baby. The ICON message has been shared across the partnership with agencies reporting (in the </w:t>
      </w:r>
      <w:r w:rsidR="001D7862">
        <w:t xml:space="preserve">2022 </w:t>
      </w:r>
      <w:r>
        <w:t>section 11 audit process) that ICON is embedded in local practice. While agencies are never complacent it is encouraging that there have been no child deaths across Sussex involving abusive head trauma (AHT) over the past three years. This follows three suspected AHTs in 2019/20.</w:t>
      </w:r>
      <w:r w:rsidR="009532A7" w:rsidRPr="009532A7">
        <w:t xml:space="preserve"> </w:t>
      </w:r>
    </w:p>
    <w:p w14:paraId="3C6C7985" w14:textId="6C48EE8F" w:rsidR="007C224E" w:rsidRPr="009532A7" w:rsidRDefault="009532A7" w:rsidP="009532A7">
      <w:pPr>
        <w:pStyle w:val="ListParagraph"/>
        <w:numPr>
          <w:ilvl w:val="0"/>
          <w:numId w:val="8"/>
        </w:numPr>
        <w:spacing w:after="0" w:line="240" w:lineRule="auto"/>
        <w:jc w:val="both"/>
        <w:rPr>
          <w:rFonts w:asciiTheme="minorHAnsi" w:hAnsiTheme="minorHAnsi" w:cstheme="minorHAnsi"/>
        </w:rPr>
      </w:pPr>
      <w:r>
        <w:t xml:space="preserve">Agencies across the partnership report their staff feel more empowered to challenge decisions and there is a culture of supportive professional challenge across the partnership. For example, since 2020 bi-monthly meetings between health and social care have been established as a forum to discuss any issues or provide clarification on roles and responsibilities. </w:t>
      </w:r>
    </w:p>
    <w:p w14:paraId="0B3D87ED" w14:textId="77777777" w:rsidR="00963A09" w:rsidRPr="00963A09" w:rsidRDefault="00963A09" w:rsidP="00963A09">
      <w:pPr>
        <w:spacing w:after="0" w:line="240" w:lineRule="auto"/>
        <w:jc w:val="both"/>
        <w:rPr>
          <w:rFonts w:asciiTheme="minorHAnsi" w:eastAsia="Century Gothic" w:hAnsiTheme="minorHAnsi" w:cstheme="minorHAnsi"/>
          <w:b/>
          <w:bCs/>
        </w:rPr>
      </w:pPr>
    </w:p>
    <w:p w14:paraId="0448274A" w14:textId="1A832635" w:rsidR="00764F65" w:rsidRPr="00764F65" w:rsidRDefault="00764F65" w:rsidP="00764F65">
      <w:pPr>
        <w:pStyle w:val="NoSpacing"/>
        <w:ind w:left="720" w:hanging="720"/>
        <w:jc w:val="both"/>
        <w:rPr>
          <w:b/>
          <w:color w:val="007FA3"/>
        </w:rPr>
      </w:pPr>
      <w:r>
        <w:lastRenderedPageBreak/>
        <w:t>1.11</w:t>
      </w:r>
      <w:r>
        <w:tab/>
      </w:r>
      <w:r w:rsidRPr="00764F65">
        <w:t>In March 2023</w:t>
      </w:r>
      <w:r>
        <w:t>,</w:t>
      </w:r>
      <w:r w:rsidRPr="00764F65">
        <w:t xml:space="preserve"> the ESSCP held an extraordinary Board meeting to discuss local evidence – including learning from case reviews, quality assurance activity, and the voice of children – and propose future priorities for the partnership. One of the </w:t>
      </w:r>
      <w:r>
        <w:t xml:space="preserve">agreed </w:t>
      </w:r>
      <w:r w:rsidRPr="00764F65">
        <w:t xml:space="preserve">three priorities </w:t>
      </w:r>
      <w:r>
        <w:t xml:space="preserve">for the partnership will be </w:t>
      </w:r>
      <w:r w:rsidRPr="00764F65">
        <w:t xml:space="preserve">‘embedding learning’, which includes a focus on ensuring that learning from the 2020-23 priority on safeguarding infants </w:t>
      </w:r>
      <w:r>
        <w:t>is</w:t>
      </w:r>
      <w:r w:rsidRPr="00764F65">
        <w:t xml:space="preserve"> embedded. </w:t>
      </w:r>
      <w:r w:rsidR="00D91FB6">
        <w:t>A multi-agency action plan will be developed, overseen by the ESSCP Steering Group, which will include the monitoring and evaluation of the impact of partnership activity.</w:t>
      </w:r>
    </w:p>
    <w:sectPr w:rsidR="00764F65" w:rsidRPr="00764F65" w:rsidSect="00B14AE5">
      <w:pgSz w:w="11906" w:h="16838"/>
      <w:pgMar w:top="851"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EC282" w14:textId="77777777" w:rsidR="00F17721" w:rsidRDefault="00F17721" w:rsidP="00F17721">
      <w:pPr>
        <w:spacing w:after="0" w:line="240" w:lineRule="auto"/>
      </w:pPr>
      <w:r>
        <w:separator/>
      </w:r>
    </w:p>
  </w:endnote>
  <w:endnote w:type="continuationSeparator" w:id="0">
    <w:p w14:paraId="21749B28" w14:textId="77777777" w:rsidR="00F17721" w:rsidRDefault="00F17721" w:rsidP="00F17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Nimrod">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42BE4" w14:textId="77777777" w:rsidR="00F17721" w:rsidRDefault="00F17721" w:rsidP="00F17721">
      <w:pPr>
        <w:spacing w:after="0" w:line="240" w:lineRule="auto"/>
      </w:pPr>
      <w:r>
        <w:separator/>
      </w:r>
    </w:p>
  </w:footnote>
  <w:footnote w:type="continuationSeparator" w:id="0">
    <w:p w14:paraId="3F65B0D6" w14:textId="77777777" w:rsidR="00F17721" w:rsidRDefault="00F17721" w:rsidP="00F17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1C3E"/>
    <w:multiLevelType w:val="multilevel"/>
    <w:tmpl w:val="3FDEA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9B39DE"/>
    <w:multiLevelType w:val="hybridMultilevel"/>
    <w:tmpl w:val="B9C41108"/>
    <w:lvl w:ilvl="0" w:tplc="FB548CE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2011F06"/>
    <w:multiLevelType w:val="hybridMultilevel"/>
    <w:tmpl w:val="A93C084E"/>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E89281A"/>
    <w:multiLevelType w:val="hybridMultilevel"/>
    <w:tmpl w:val="6E3456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FEA16CA"/>
    <w:multiLevelType w:val="multilevel"/>
    <w:tmpl w:val="2C089294"/>
    <w:lvl w:ilvl="0">
      <w:start w:val="1"/>
      <w:numFmt w:val="decimal"/>
      <w:lvlText w:val="%1"/>
      <w:lvlJc w:val="left"/>
      <w:pPr>
        <w:ind w:left="720" w:hanging="72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5" w15:restartNumberingAfterBreak="0">
    <w:nsid w:val="29DC0C2D"/>
    <w:multiLevelType w:val="multilevel"/>
    <w:tmpl w:val="9EDCDE58"/>
    <w:lvl w:ilvl="0">
      <w:start w:val="2"/>
      <w:numFmt w:val="decimal"/>
      <w:lvlText w:val="%1"/>
      <w:lvlJc w:val="left"/>
      <w:pPr>
        <w:ind w:left="360" w:hanging="360"/>
      </w:pPr>
      <w:rPr>
        <w:rFonts w:asciiTheme="minorHAnsi" w:eastAsia="Century Gothic" w:hAnsiTheme="minorHAnsi" w:cstheme="minorHAnsi" w:hint="default"/>
        <w:sz w:val="22"/>
      </w:rPr>
    </w:lvl>
    <w:lvl w:ilvl="1">
      <w:start w:val="1"/>
      <w:numFmt w:val="decimal"/>
      <w:lvlText w:val="%1.%2"/>
      <w:lvlJc w:val="left"/>
      <w:pPr>
        <w:ind w:left="360" w:hanging="360"/>
      </w:pPr>
      <w:rPr>
        <w:rFonts w:asciiTheme="minorHAnsi" w:eastAsia="Century Gothic" w:hAnsiTheme="minorHAnsi" w:cstheme="minorHAnsi" w:hint="default"/>
        <w:sz w:val="22"/>
      </w:rPr>
    </w:lvl>
    <w:lvl w:ilvl="2">
      <w:start w:val="1"/>
      <w:numFmt w:val="decimal"/>
      <w:lvlText w:val="%1.%2.%3"/>
      <w:lvlJc w:val="left"/>
      <w:pPr>
        <w:ind w:left="720" w:hanging="720"/>
      </w:pPr>
      <w:rPr>
        <w:rFonts w:asciiTheme="minorHAnsi" w:eastAsia="Century Gothic" w:hAnsiTheme="minorHAnsi" w:cstheme="minorHAnsi" w:hint="default"/>
        <w:sz w:val="22"/>
      </w:rPr>
    </w:lvl>
    <w:lvl w:ilvl="3">
      <w:start w:val="1"/>
      <w:numFmt w:val="decimal"/>
      <w:lvlText w:val="%1.%2.%3.%4"/>
      <w:lvlJc w:val="left"/>
      <w:pPr>
        <w:ind w:left="720" w:hanging="720"/>
      </w:pPr>
      <w:rPr>
        <w:rFonts w:asciiTheme="minorHAnsi" w:eastAsia="Century Gothic" w:hAnsiTheme="minorHAnsi" w:cstheme="minorHAnsi" w:hint="default"/>
        <w:sz w:val="22"/>
      </w:rPr>
    </w:lvl>
    <w:lvl w:ilvl="4">
      <w:start w:val="1"/>
      <w:numFmt w:val="decimal"/>
      <w:lvlText w:val="%1.%2.%3.%4.%5"/>
      <w:lvlJc w:val="left"/>
      <w:pPr>
        <w:ind w:left="1080" w:hanging="1080"/>
      </w:pPr>
      <w:rPr>
        <w:rFonts w:asciiTheme="minorHAnsi" w:eastAsia="Century Gothic" w:hAnsiTheme="minorHAnsi" w:cstheme="minorHAnsi" w:hint="default"/>
        <w:sz w:val="22"/>
      </w:rPr>
    </w:lvl>
    <w:lvl w:ilvl="5">
      <w:start w:val="1"/>
      <w:numFmt w:val="decimal"/>
      <w:lvlText w:val="%1.%2.%3.%4.%5.%6"/>
      <w:lvlJc w:val="left"/>
      <w:pPr>
        <w:ind w:left="1080" w:hanging="1080"/>
      </w:pPr>
      <w:rPr>
        <w:rFonts w:asciiTheme="minorHAnsi" w:eastAsia="Century Gothic" w:hAnsiTheme="minorHAnsi" w:cstheme="minorHAnsi" w:hint="default"/>
        <w:sz w:val="22"/>
      </w:rPr>
    </w:lvl>
    <w:lvl w:ilvl="6">
      <w:start w:val="1"/>
      <w:numFmt w:val="decimal"/>
      <w:lvlText w:val="%1.%2.%3.%4.%5.%6.%7"/>
      <w:lvlJc w:val="left"/>
      <w:pPr>
        <w:ind w:left="1440" w:hanging="1440"/>
      </w:pPr>
      <w:rPr>
        <w:rFonts w:asciiTheme="minorHAnsi" w:eastAsia="Century Gothic" w:hAnsiTheme="minorHAnsi" w:cstheme="minorHAnsi" w:hint="default"/>
        <w:sz w:val="22"/>
      </w:rPr>
    </w:lvl>
    <w:lvl w:ilvl="7">
      <w:start w:val="1"/>
      <w:numFmt w:val="decimal"/>
      <w:lvlText w:val="%1.%2.%3.%4.%5.%6.%7.%8"/>
      <w:lvlJc w:val="left"/>
      <w:pPr>
        <w:ind w:left="1440" w:hanging="1440"/>
      </w:pPr>
      <w:rPr>
        <w:rFonts w:asciiTheme="minorHAnsi" w:eastAsia="Century Gothic" w:hAnsiTheme="minorHAnsi" w:cstheme="minorHAnsi" w:hint="default"/>
        <w:sz w:val="22"/>
      </w:rPr>
    </w:lvl>
    <w:lvl w:ilvl="8">
      <w:start w:val="1"/>
      <w:numFmt w:val="decimal"/>
      <w:lvlText w:val="%1.%2.%3.%4.%5.%6.%7.%8.%9"/>
      <w:lvlJc w:val="left"/>
      <w:pPr>
        <w:ind w:left="1800" w:hanging="1800"/>
      </w:pPr>
      <w:rPr>
        <w:rFonts w:asciiTheme="minorHAnsi" w:eastAsia="Century Gothic" w:hAnsiTheme="minorHAnsi" w:cstheme="minorHAnsi" w:hint="default"/>
        <w:sz w:val="22"/>
      </w:rPr>
    </w:lvl>
  </w:abstractNum>
  <w:abstractNum w:abstractNumId="6" w15:restartNumberingAfterBreak="0">
    <w:nsid w:val="43445555"/>
    <w:multiLevelType w:val="hybridMultilevel"/>
    <w:tmpl w:val="5AAAB6A2"/>
    <w:lvl w:ilvl="0" w:tplc="E828E442">
      <w:start w:val="1"/>
      <w:numFmt w:val="bullet"/>
      <w:lvlText w:val=""/>
      <w:lvlJc w:val="left"/>
      <w:pPr>
        <w:ind w:left="720" w:hanging="360"/>
      </w:pPr>
      <w:rPr>
        <w:rFonts w:ascii="Wingdings" w:hAnsi="Wingdings" w:hint="default"/>
        <w:b/>
        <w:bCs/>
        <w:color w:val="93328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3F42CD"/>
    <w:multiLevelType w:val="hybridMultilevel"/>
    <w:tmpl w:val="D53287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DF206AA"/>
    <w:multiLevelType w:val="hybridMultilevel"/>
    <w:tmpl w:val="B546C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372198888">
    <w:abstractNumId w:val="4"/>
  </w:num>
  <w:num w:numId="2" w16cid:durableId="1543439749">
    <w:abstractNumId w:val="1"/>
  </w:num>
  <w:num w:numId="3" w16cid:durableId="216160773">
    <w:abstractNumId w:val="0"/>
  </w:num>
  <w:num w:numId="4" w16cid:durableId="948119881">
    <w:abstractNumId w:val="1"/>
  </w:num>
  <w:num w:numId="5" w16cid:durableId="948974188">
    <w:abstractNumId w:val="3"/>
  </w:num>
  <w:num w:numId="6" w16cid:durableId="868102272">
    <w:abstractNumId w:val="8"/>
  </w:num>
  <w:num w:numId="7" w16cid:durableId="1007441531">
    <w:abstractNumId w:val="5"/>
  </w:num>
  <w:num w:numId="8" w16cid:durableId="1492259060">
    <w:abstractNumId w:val="2"/>
  </w:num>
  <w:num w:numId="9" w16cid:durableId="1748919768">
    <w:abstractNumId w:val="7"/>
  </w:num>
  <w:num w:numId="10" w16cid:durableId="1240168995">
    <w:abstractNumId w:val="6"/>
  </w:num>
  <w:num w:numId="11" w16cid:durableId="199474889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721"/>
    <w:rsid w:val="00014FC8"/>
    <w:rsid w:val="00030D61"/>
    <w:rsid w:val="000B3853"/>
    <w:rsid w:val="001D7862"/>
    <w:rsid w:val="001E2080"/>
    <w:rsid w:val="00230815"/>
    <w:rsid w:val="00322A55"/>
    <w:rsid w:val="00334EB9"/>
    <w:rsid w:val="003B07C5"/>
    <w:rsid w:val="003D11CE"/>
    <w:rsid w:val="00405E07"/>
    <w:rsid w:val="0042347E"/>
    <w:rsid w:val="00472331"/>
    <w:rsid w:val="00494C2A"/>
    <w:rsid w:val="004F6F1A"/>
    <w:rsid w:val="00536870"/>
    <w:rsid w:val="00554CCB"/>
    <w:rsid w:val="00764F65"/>
    <w:rsid w:val="007851D0"/>
    <w:rsid w:val="007878F7"/>
    <w:rsid w:val="007C224E"/>
    <w:rsid w:val="008715E2"/>
    <w:rsid w:val="009532A7"/>
    <w:rsid w:val="00963A09"/>
    <w:rsid w:val="00A235E6"/>
    <w:rsid w:val="00B14AE5"/>
    <w:rsid w:val="00B3387D"/>
    <w:rsid w:val="00B363F2"/>
    <w:rsid w:val="00C27326"/>
    <w:rsid w:val="00C936EA"/>
    <w:rsid w:val="00D91FB6"/>
    <w:rsid w:val="00D949DB"/>
    <w:rsid w:val="00DA71A2"/>
    <w:rsid w:val="00DB7857"/>
    <w:rsid w:val="00EF3728"/>
    <w:rsid w:val="00F12822"/>
    <w:rsid w:val="00F17721"/>
    <w:rsid w:val="00F35ABF"/>
    <w:rsid w:val="00F40BC2"/>
    <w:rsid w:val="00F63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5326D"/>
  <w15:chartTrackingRefBased/>
  <w15:docId w15:val="{3EEFE907-C295-4B46-A30E-71334BBFF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721"/>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17721"/>
    <w:rPr>
      <w:sz w:val="20"/>
      <w:szCs w:val="20"/>
    </w:rPr>
  </w:style>
  <w:style w:type="character" w:customStyle="1" w:styleId="FootnoteTextChar">
    <w:name w:val="Footnote Text Char"/>
    <w:basedOn w:val="DefaultParagraphFont"/>
    <w:link w:val="FootnoteText"/>
    <w:uiPriority w:val="99"/>
    <w:rsid w:val="00F17721"/>
    <w:rPr>
      <w:rFonts w:ascii="Calibri" w:eastAsia="Calibri" w:hAnsi="Calibri" w:cs="Times New Roman"/>
      <w:kern w:val="0"/>
      <w:sz w:val="20"/>
      <w:szCs w:val="20"/>
      <w14:ligatures w14:val="none"/>
    </w:rPr>
  </w:style>
  <w:style w:type="character" w:styleId="FootnoteReference">
    <w:name w:val="footnote reference"/>
    <w:unhideWhenUsed/>
    <w:rsid w:val="00F17721"/>
    <w:rPr>
      <w:vertAlign w:val="superscript"/>
    </w:rPr>
  </w:style>
  <w:style w:type="paragraph" w:styleId="Signature">
    <w:name w:val="Signature"/>
    <w:basedOn w:val="Normal"/>
    <w:link w:val="SignatureChar"/>
    <w:rsid w:val="00F17721"/>
    <w:pPr>
      <w:suppressLineNumbers/>
      <w:suppressAutoHyphens/>
      <w:spacing w:after="0" w:line="240" w:lineRule="auto"/>
    </w:pPr>
    <w:rPr>
      <w:rFonts w:ascii="Nimrod" w:eastAsia="Times New Roman" w:hAnsi="Nimrod"/>
      <w:sz w:val="24"/>
      <w:szCs w:val="20"/>
    </w:rPr>
  </w:style>
  <w:style w:type="character" w:customStyle="1" w:styleId="SignatureChar">
    <w:name w:val="Signature Char"/>
    <w:basedOn w:val="DefaultParagraphFont"/>
    <w:link w:val="Signature"/>
    <w:rsid w:val="00F17721"/>
    <w:rPr>
      <w:rFonts w:ascii="Nimrod" w:eastAsia="Times New Roman" w:hAnsi="Nimrod" w:cs="Times New Roman"/>
      <w:kern w:val="0"/>
      <w:sz w:val="24"/>
      <w:szCs w:val="20"/>
      <w14:ligatures w14:val="none"/>
    </w:rPr>
  </w:style>
  <w:style w:type="paragraph" w:styleId="ListParagraph">
    <w:name w:val="List Paragraph"/>
    <w:aliases w:val="Bullet list,Body Text1"/>
    <w:basedOn w:val="Normal"/>
    <w:link w:val="ListParagraphChar"/>
    <w:uiPriority w:val="34"/>
    <w:qFormat/>
    <w:rsid w:val="00F17721"/>
    <w:pPr>
      <w:ind w:left="720"/>
      <w:contextualSpacing/>
    </w:pPr>
  </w:style>
  <w:style w:type="paragraph" w:customStyle="1" w:styleId="css-r8r4ca">
    <w:name w:val="css-r8r4ca"/>
    <w:basedOn w:val="Normal"/>
    <w:rsid w:val="00B14AE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ss-q2bbi5">
    <w:name w:val="css-q2bbi5"/>
    <w:basedOn w:val="DefaultParagraphFont"/>
    <w:rsid w:val="00B14AE5"/>
  </w:style>
  <w:style w:type="paragraph" w:customStyle="1" w:styleId="Default">
    <w:name w:val="Default"/>
    <w:rsid w:val="00F35ABF"/>
    <w:pPr>
      <w:autoSpaceDE w:val="0"/>
      <w:autoSpaceDN w:val="0"/>
      <w:adjustRightInd w:val="0"/>
      <w:spacing w:after="0" w:line="240" w:lineRule="auto"/>
    </w:pPr>
    <w:rPr>
      <w:rFonts w:ascii="Arial" w:hAnsi="Arial" w:cs="Arial"/>
      <w:color w:val="000000"/>
      <w:kern w:val="0"/>
      <w:sz w:val="24"/>
      <w:szCs w:val="24"/>
    </w:rPr>
  </w:style>
  <w:style w:type="character" w:styleId="Hyperlink">
    <w:name w:val="Hyperlink"/>
    <w:basedOn w:val="DefaultParagraphFont"/>
    <w:uiPriority w:val="99"/>
    <w:semiHidden/>
    <w:unhideWhenUsed/>
    <w:rsid w:val="00F12822"/>
    <w:rPr>
      <w:color w:val="0000FF"/>
      <w:u w:val="single"/>
    </w:rPr>
  </w:style>
  <w:style w:type="character" w:customStyle="1" w:styleId="ListParagraphChar">
    <w:name w:val="List Paragraph Char"/>
    <w:aliases w:val="Bullet list Char,Body Text1 Char"/>
    <w:basedOn w:val="DefaultParagraphFont"/>
    <w:link w:val="ListParagraph"/>
    <w:uiPriority w:val="34"/>
    <w:locked/>
    <w:rsid w:val="00764F65"/>
    <w:rPr>
      <w:rFonts w:ascii="Calibri" w:eastAsia="Calibri" w:hAnsi="Calibri" w:cs="Times New Roman"/>
      <w:kern w:val="0"/>
      <w14:ligatures w14:val="none"/>
    </w:rPr>
  </w:style>
  <w:style w:type="paragraph" w:styleId="NoSpacing">
    <w:name w:val="No Spacing"/>
    <w:uiPriority w:val="1"/>
    <w:qFormat/>
    <w:rsid w:val="00764F65"/>
    <w:pPr>
      <w:spacing w:after="0" w:line="240" w:lineRule="auto"/>
    </w:pPr>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48604">
      <w:bodyDiv w:val="1"/>
      <w:marLeft w:val="0"/>
      <w:marRight w:val="0"/>
      <w:marTop w:val="0"/>
      <w:marBottom w:val="0"/>
      <w:divBdr>
        <w:top w:val="none" w:sz="0" w:space="0" w:color="auto"/>
        <w:left w:val="none" w:sz="0" w:space="0" w:color="auto"/>
        <w:bottom w:val="none" w:sz="0" w:space="0" w:color="auto"/>
        <w:right w:val="none" w:sz="0" w:space="0" w:color="auto"/>
      </w:divBdr>
    </w:div>
    <w:div w:id="719206089">
      <w:bodyDiv w:val="1"/>
      <w:marLeft w:val="0"/>
      <w:marRight w:val="0"/>
      <w:marTop w:val="0"/>
      <w:marBottom w:val="0"/>
      <w:divBdr>
        <w:top w:val="none" w:sz="0" w:space="0" w:color="auto"/>
        <w:left w:val="none" w:sz="0" w:space="0" w:color="auto"/>
        <w:bottom w:val="none" w:sz="0" w:space="0" w:color="auto"/>
        <w:right w:val="none" w:sz="0" w:space="0" w:color="auto"/>
      </w:divBdr>
    </w:div>
    <w:div w:id="773599542">
      <w:bodyDiv w:val="1"/>
      <w:marLeft w:val="0"/>
      <w:marRight w:val="0"/>
      <w:marTop w:val="0"/>
      <w:marBottom w:val="0"/>
      <w:divBdr>
        <w:top w:val="none" w:sz="0" w:space="0" w:color="auto"/>
        <w:left w:val="none" w:sz="0" w:space="0" w:color="auto"/>
        <w:bottom w:val="none" w:sz="0" w:space="0" w:color="auto"/>
        <w:right w:val="none" w:sz="0" w:space="0" w:color="auto"/>
      </w:divBdr>
    </w:div>
    <w:div w:id="838427383">
      <w:bodyDiv w:val="1"/>
      <w:marLeft w:val="0"/>
      <w:marRight w:val="0"/>
      <w:marTop w:val="0"/>
      <w:marBottom w:val="0"/>
      <w:divBdr>
        <w:top w:val="none" w:sz="0" w:space="0" w:color="auto"/>
        <w:left w:val="none" w:sz="0" w:space="0" w:color="auto"/>
        <w:bottom w:val="none" w:sz="0" w:space="0" w:color="auto"/>
        <w:right w:val="none" w:sz="0" w:space="0" w:color="auto"/>
      </w:divBdr>
    </w:div>
    <w:div w:id="1454127895">
      <w:bodyDiv w:val="1"/>
      <w:marLeft w:val="0"/>
      <w:marRight w:val="0"/>
      <w:marTop w:val="0"/>
      <w:marBottom w:val="0"/>
      <w:divBdr>
        <w:top w:val="none" w:sz="0" w:space="0" w:color="auto"/>
        <w:left w:val="none" w:sz="0" w:space="0" w:color="auto"/>
        <w:bottom w:val="none" w:sz="0" w:space="0" w:color="auto"/>
        <w:right w:val="none" w:sz="0" w:space="0" w:color="auto"/>
      </w:divBdr>
    </w:div>
    <w:div w:id="2131439104">
      <w:bodyDiv w:val="1"/>
      <w:marLeft w:val="0"/>
      <w:marRight w:val="0"/>
      <w:marTop w:val="0"/>
      <w:marBottom w:val="0"/>
      <w:divBdr>
        <w:top w:val="none" w:sz="0" w:space="0" w:color="auto"/>
        <w:left w:val="none" w:sz="0" w:space="0" w:color="auto"/>
        <w:bottom w:val="none" w:sz="0" w:space="0" w:color="auto"/>
        <w:right w:val="none" w:sz="0" w:space="0" w:color="auto"/>
      </w:divBdr>
    </w:div>
    <w:div w:id="214480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ssexchildprotection.procedures.org.uk/tkyslh/the-child-protection-plan/unexplained-injuries-to-young-childre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1270</Words>
  <Characters>7244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Jones</dc:creator>
  <cp:keywords/>
  <dc:description/>
  <cp:lastModifiedBy>Victoria Jones</cp:lastModifiedBy>
  <cp:revision>5</cp:revision>
  <dcterms:created xsi:type="dcterms:W3CDTF">2023-10-10T09:23:00Z</dcterms:created>
  <dcterms:modified xsi:type="dcterms:W3CDTF">2023-10-19T13:36:00Z</dcterms:modified>
</cp:coreProperties>
</file>